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start"/>
        <w:tblInd w:w="0" w:type="dxa"/>
        <w:tblLayout w:type="fixed"/>
        <w:tblCellMar>
          <w:top w:w="440" w:type="dxa"/>
          <w:start w:w="360" w:type="dxa"/>
          <w:bottom w:w="440" w:type="dxa"/>
          <w:end w:w="360" w:type="dxa"/>
        </w:tblCellMar>
      </w:tblPr>
      <w:tblGrid>
        <w:gridCol w:w="9360"/>
      </w:tblGrid>
      <w:tr>
        <w:trPr/>
        <w:tc>
          <w:tcPr>
            <w:tcW w:w="9360" w:type="dxa"/>
            <w:tcBorders/>
            <w:shd w:fill="0A1628" w:val="clear"/>
          </w:tcPr>
          <w:p>
            <w:pPr>
              <w:pStyle w:val="Normal"/>
              <w:spacing w:before="0" w:after="60"/>
              <w:jc w:val="center"/>
              <w:rPr/>
            </w:pPr>
            <w:r>
              <w:rPr>
                <w:rFonts w:eastAsia="Arial" w:cs="Arial"/>
                <w:b/>
                <w:bCs/>
                <w:color w:val="C8973A"/>
                <w:spacing w:val="300"/>
                <w:sz w:val="22"/>
                <w:szCs w:val="22"/>
              </w:rPr>
              <w:t>Codeligent</w:t>
            </w:r>
          </w:p>
          <w:p>
            <w:pPr>
              <w:pStyle w:val="Normal"/>
              <w:spacing w:before="0" w:after="120"/>
              <w:jc w:val="center"/>
              <w:rPr/>
            </w:pPr>
            <w:r>
              <w:rPr>
                <w:rFonts w:eastAsia="Arial" w:cs="Arial"/>
                <w:color w:val="7799BB"/>
                <w:spacing w:val="80"/>
                <w:sz w:val="15"/>
                <w:szCs w:val="15"/>
              </w:rPr>
              <w:t>AUTONOMOUS OPERATIONS  |  AGENTIC AI WORKFLOWS</w:t>
            </w:r>
          </w:p>
          <w:p>
            <w:pPr>
              <w:pStyle w:val="Normal"/>
              <w:pBdr>
                <w:bottom w:val="single" w:sz="2" w:space="1" w:color="C8973A"/>
              </w:pBdr>
              <w:spacing w:before="60" w:after="60"/>
              <w:jc w:val="center"/>
              <w:rPr/>
            </w:pPr>
            <w:r>
              <w:rPr/>
            </w:r>
          </w:p>
          <w:p>
            <w:pPr>
              <w:pStyle w:val="Normal"/>
              <w:spacing w:before="100" w:after="0"/>
              <w:rPr/>
            </w:pPr>
            <w:r>
              <w:rPr/>
            </w:r>
          </w:p>
          <w:p>
            <w:pPr>
              <w:pStyle w:val="Normal"/>
              <w:spacing w:before="100" w:after="60"/>
              <w:jc w:val="center"/>
              <w:rPr/>
            </w:pPr>
            <w:r>
              <w:rPr>
                <w:rFonts w:eastAsia="Arial" w:cs="Arial"/>
                <w:b/>
                <w:bCs/>
                <w:color w:val="99BBDD"/>
                <w:spacing w:val="200"/>
                <w:sz w:val="18"/>
                <w:szCs w:val="18"/>
              </w:rPr>
              <w:t>CASE STUDY</w:t>
            </w:r>
          </w:p>
          <w:p>
            <w:pPr>
              <w:pStyle w:val="Normal"/>
              <w:spacing w:before="0" w:after="80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56"/>
                <w:szCs w:val="56"/>
              </w:rPr>
              <w:t>ARKLIFE</w:t>
            </w:r>
          </w:p>
          <w:p>
            <w:pPr>
              <w:pStyle w:val="Normal"/>
              <w:spacing w:before="0" w:after="80"/>
              <w:jc w:val="center"/>
              <w:rPr/>
            </w:pPr>
            <w:r>
              <w:rPr>
                <w:rFonts w:eastAsia="Arial" w:cs="Arial"/>
                <w:i/>
                <w:iCs/>
                <w:color w:val="C8973A"/>
                <w:sz w:val="23"/>
                <w:szCs w:val="23"/>
              </w:rPr>
              <w:t>Digital Immortality &amp; Genomic AI Platform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Arial" w:cs="Arial"/>
                <w:color w:val="7799BB"/>
                <w:sz w:val="16"/>
                <w:szCs w:val="16"/>
              </w:rPr>
              <w:t>Client: ArkLife Project, Italy  |  AI Innovation  |  High-Net-Worth SaaS</w:t>
            </w:r>
          </w:p>
        </w:tc>
      </w:tr>
    </w:tbl>
    <w:p>
      <w:pPr>
        <w:pStyle w:val="Normal"/>
        <w:spacing w:before="360" w:after="0"/>
        <w:rPr/>
      </w:pPr>
      <w:r>
        <w:rPr/>
      </w:r>
    </w:p>
    <w:p>
      <w:pPr>
        <w:pStyle w:val="Heading1"/>
        <w:spacing w:before="360" w:after="120"/>
        <w:rPr/>
      </w:pPr>
      <w:r>
        <w:rPr>
          <w:rFonts w:eastAsia="Arial" w:cs="Arial" w:ascii="Arial" w:hAnsi="Arial"/>
          <w:b/>
          <w:bCs/>
          <w:color w:val="0A1628"/>
          <w:sz w:val="30"/>
          <w:szCs w:val="30"/>
        </w:rPr>
        <w:t>Executive Summary</w:t>
      </w:r>
    </w:p>
    <w:p>
      <w:pPr>
        <w:pStyle w:val="Normal"/>
        <w:pBdr>
          <w:bottom w:val="single" w:sz="4" w:space="1" w:color="C8973A"/>
        </w:pBdr>
        <w:spacing w:before="80" w:after="80"/>
        <w:rPr/>
      </w:pPr>
      <w:r>
        <w:rPr/>
      </w:r>
    </w:p>
    <w:p>
      <w:pPr>
        <w:pStyle w:val="Normal"/>
        <w:spacing w:before="60" w:after="0"/>
        <w:rPr/>
      </w:pPr>
      <w:r>
        <w:rPr/>
      </w:r>
    </w:p>
    <w:p>
      <w:pPr>
        <w:pStyle w:val="Normal"/>
        <w:spacing w:lineRule="auto" w:line="310" w:before="60" w:after="10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2C3E50"/>
          <w:sz w:val="21"/>
          <w:szCs w:val="21"/>
        </w:rPr>
        <w:t>ArkLife is a high-end Digital Immortality platform built for an Italian AI innovation firm. The vision was bold: allow individuals to create a living, interactive Digital Twin — a persistent digital entity that looks like them, sounds like them, and responds using their actual memories, documents, and personal history.</w:t>
      </w:r>
    </w:p>
    <w:p>
      <w:pPr>
        <w:pStyle w:val="Normal"/>
        <w:spacing w:lineRule="auto" w:line="310" w:before="60" w:after="10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2C3E50"/>
          <w:sz w:val="21"/>
          <w:szCs w:val="21"/>
        </w:rPr>
        <w:t>We architected the Neural Engine and Biometric Lab that makes this possible. A user uploads a set of reference photos and voice samples; the platform automatically fuses them into a fully animated, voice-cloned avatar backed by a RAG-powered Memory Vault. What previously required days of manual video editing and voice training now completes in under 15 minutes. ArkLife moved from a conceptual startup to a functional platform ready to engage genomic researchers and high-net-worth institutional partners.</w:t>
      </w:r>
    </w:p>
    <w:p>
      <w:pPr>
        <w:pStyle w:val="Normal"/>
        <w:spacing w:before="14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80" w:type="dxa"/>
          <w:start w:w="140" w:type="dxa"/>
          <w:bottom w:w="180" w:type="dxa"/>
          <w:end w:w="140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  <w:shd w:fill="0A1628" w:val="clear"/>
          </w:tcPr>
          <w:p>
            <w:pPr>
              <w:pStyle w:val="Normal"/>
              <w:spacing w:before="0" w:after="40"/>
              <w:jc w:val="center"/>
              <w:rPr/>
            </w:pPr>
            <w:r>
              <w:rPr>
                <w:rFonts w:eastAsia="Arial" w:cs="Arial"/>
                <w:b/>
                <w:bCs/>
                <w:color w:val="C8973A"/>
                <w:sz w:val="40"/>
                <w:szCs w:val="40"/>
              </w:rPr>
              <w:t>95%</w:t>
            </w:r>
          </w:p>
          <w:p>
            <w:pPr>
              <w:pStyle w:val="Normal"/>
              <w:spacing w:before="0" w:after="30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Faster Avatar Creation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i/>
                <w:iCs/>
                <w:color w:val="99BBDD"/>
                <w:sz w:val="15"/>
                <w:szCs w:val="15"/>
              </w:rPr>
              <w:t>Days reduced to 15 minutes</w:t>
            </w:r>
          </w:p>
        </w:tc>
        <w:tc>
          <w:tcPr>
            <w:tcW w:w="2340" w:type="dxa"/>
            <w:tcBorders/>
            <w:shd w:fill="0A1628" w:val="clear"/>
          </w:tcPr>
          <w:p>
            <w:pPr>
              <w:pStyle w:val="Normal"/>
              <w:spacing w:before="0" w:after="40"/>
              <w:jc w:val="center"/>
              <w:rPr/>
            </w:pPr>
            <w:r>
              <w:rPr>
                <w:rFonts w:eastAsia="Arial" w:cs="Arial"/>
                <w:b/>
                <w:bCs/>
                <w:color w:val="C8973A"/>
                <w:sz w:val="40"/>
                <w:szCs w:val="40"/>
              </w:rPr>
              <w:t>15 min</w:t>
            </w:r>
          </w:p>
          <w:p>
            <w:pPr>
              <w:pStyle w:val="Normal"/>
              <w:spacing w:before="0" w:after="30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Twin Deployment Time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i/>
                <w:iCs/>
                <w:color w:val="99BBDD"/>
                <w:sz w:val="15"/>
                <w:szCs w:val="15"/>
              </w:rPr>
              <w:t>Fully automated pipeline</w:t>
            </w:r>
          </w:p>
        </w:tc>
        <w:tc>
          <w:tcPr>
            <w:tcW w:w="2340" w:type="dxa"/>
            <w:tcBorders/>
            <w:shd w:fill="0A1628" w:val="clear"/>
          </w:tcPr>
          <w:p>
            <w:pPr>
              <w:pStyle w:val="Normal"/>
              <w:spacing w:before="0" w:after="40"/>
              <w:jc w:val="center"/>
              <w:rPr/>
            </w:pPr>
            <w:r>
              <w:rPr>
                <w:rFonts w:eastAsia="Arial" w:cs="Arial"/>
                <w:b/>
                <w:bCs/>
                <w:color w:val="C8973A"/>
                <w:sz w:val="40"/>
                <w:szCs w:val="40"/>
              </w:rPr>
              <w:t>3-in-1</w:t>
            </w:r>
          </w:p>
          <w:p>
            <w:pPr>
              <w:pStyle w:val="Normal"/>
              <w:spacing w:before="0" w:after="30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Biometric Fusion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i/>
                <w:iCs/>
                <w:color w:val="99BBDD"/>
                <w:sz w:val="15"/>
                <w:szCs w:val="15"/>
              </w:rPr>
              <w:t>Voice + Face + Memory</w:t>
            </w:r>
          </w:p>
        </w:tc>
        <w:tc>
          <w:tcPr>
            <w:tcW w:w="2340" w:type="dxa"/>
            <w:tcBorders/>
            <w:shd w:fill="0A1628" w:val="clear"/>
          </w:tcPr>
          <w:p>
            <w:pPr>
              <w:pStyle w:val="Normal"/>
              <w:spacing w:before="0" w:after="40"/>
              <w:jc w:val="center"/>
              <w:rPr/>
            </w:pPr>
            <w:r>
              <w:rPr>
                <w:rFonts w:eastAsia="Arial" w:cs="Arial"/>
                <w:b/>
                <w:bCs/>
                <w:color w:val="C8973A"/>
                <w:sz w:val="40"/>
                <w:szCs w:val="40"/>
              </w:rPr>
              <w:t>RAG</w:t>
            </w:r>
          </w:p>
          <w:p>
            <w:pPr>
              <w:pStyle w:val="Normal"/>
              <w:spacing w:before="0" w:after="30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Memory Architecture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i/>
                <w:iCs/>
                <w:color w:val="99BBDD"/>
                <w:sz w:val="15"/>
                <w:szCs w:val="15"/>
              </w:rPr>
              <w:t>Persistent Neural Vault</w:t>
            </w:r>
          </w:p>
        </w:tc>
      </w:tr>
    </w:tbl>
    <w:p>
      <w:pPr>
        <w:pStyle w:val="Normal"/>
        <w:spacing w:before="280" w:after="0"/>
        <w:rPr/>
      </w:pPr>
      <w:r>
        <w:rPr/>
      </w:r>
    </w:p>
    <w:p>
      <w:pPr>
        <w:pStyle w:val="Heading1"/>
        <w:spacing w:before="360" w:after="120"/>
        <w:rPr/>
      </w:pPr>
      <w:r>
        <w:rPr>
          <w:rFonts w:eastAsia="Arial" w:cs="Arial" w:ascii="Arial" w:hAnsi="Arial"/>
          <w:b/>
          <w:bCs/>
          <w:color w:val="0A1628"/>
          <w:sz w:val="30"/>
          <w:szCs w:val="30"/>
        </w:rPr>
        <w:t>The Problem We Solved</w:t>
      </w:r>
    </w:p>
    <w:p>
      <w:pPr>
        <w:pStyle w:val="Normal"/>
        <w:spacing w:before="0" w:after="100"/>
        <w:rPr/>
      </w:pPr>
      <w:r>
        <w:rPr>
          <w:rFonts w:eastAsia="Arial" w:cs="Arial"/>
          <w:b/>
          <w:bCs/>
          <w:color w:val="C8973A"/>
          <w:sz w:val="22"/>
          <w:szCs w:val="22"/>
        </w:rPr>
        <w:t>A Vision for Digital Eternity — With No Architecture to Support It</w:t>
      </w:r>
    </w:p>
    <w:p>
      <w:pPr>
        <w:pStyle w:val="Normal"/>
        <w:pBdr>
          <w:bottom w:val="single" w:sz="4" w:space="1" w:color="C8973A"/>
        </w:pBdr>
        <w:spacing w:before="80" w:after="80"/>
        <w:rPr/>
      </w:pPr>
      <w:r>
        <w:rPr/>
      </w:r>
    </w:p>
    <w:p>
      <w:pPr>
        <w:pStyle w:val="Normal"/>
        <w:spacing w:before="60" w:after="0"/>
        <w:rPr/>
      </w:pPr>
      <w:r>
        <w:rPr/>
      </w:r>
    </w:p>
    <w:p>
      <w:pPr>
        <w:pStyle w:val="Normal"/>
        <w:spacing w:lineRule="auto" w:line="310" w:before="60" w:after="10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2C3E50"/>
          <w:sz w:val="21"/>
          <w:szCs w:val="21"/>
        </w:rPr>
        <w:t>The ArkLife team had a compelling vision but a fragmented technical foundation. The components they needed — voice cloning, facial animation, and a persistent memory layer — all existed in isolation. There was no unified system connecting them, and no intelligence layer giving the avatar any sense of identity or continuity.</w:t>
      </w:r>
    </w:p>
    <w:p>
      <w:pPr>
        <w:pStyle w:val="Normal"/>
        <w:spacing w:before="12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40" w:type="dxa"/>
          <w:start w:w="180" w:type="dxa"/>
          <w:bottom w:w="140" w:type="dxa"/>
          <w:end w:w="180" w:type="dxa"/>
        </w:tblCellMar>
      </w:tblPr>
      <w:tblGrid>
        <w:gridCol w:w="4620"/>
        <w:gridCol w:w="4740"/>
      </w:tblGrid>
      <w:tr>
        <w:trPr/>
        <w:tc>
          <w:tcPr>
            <w:tcW w:w="4620" w:type="dxa"/>
            <w:tcBorders/>
            <w:shd w:fill="F3EEF8" w:val="clear"/>
          </w:tcPr>
          <w:p>
            <w:pPr>
              <w:pStyle w:val="Normal"/>
              <w:spacing w:before="0" w:after="80"/>
              <w:rPr/>
            </w:pPr>
            <w:r>
              <w:rPr>
                <w:rFonts w:eastAsia="Arial" w:cs="Arial"/>
                <w:b/>
                <w:bCs/>
                <w:color w:val="4A235A"/>
                <w:sz w:val="20"/>
                <w:szCs w:val="20"/>
              </w:rPr>
              <w:t>The State Before We Arrived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Voice cloning and facial animation were completely disconnected — no pipeline linking them into a coherent avatar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No memory layer: avatars had no access to the user's personal history, making responses feel generic and impersonal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Data was siloed — photos, voice samples, and documents lived in separate systems with no unified processing flow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Avatar creation required days of manual editing, voice training, and technical configuration per user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No secure architecture to handle sensitive biometric and personal data at the level required by high-net-worth clients</w:t>
            </w:r>
          </w:p>
        </w:tc>
        <w:tc>
          <w:tcPr>
            <w:tcW w:w="4740" w:type="dxa"/>
            <w:tcBorders/>
            <w:shd w:fill="F5F7FA" w:val="clear"/>
          </w:tcPr>
          <w:p>
            <w:pPr>
              <w:pStyle w:val="Normal"/>
              <w:spacing w:before="0" w:after="80"/>
              <w:rPr/>
            </w:pPr>
            <w:r>
              <w:rPr>
                <w:rFonts w:eastAsia="Arial" w:cs="Arial"/>
                <w:b/>
                <w:bCs/>
                <w:color w:val="9B1C1C"/>
                <w:sz w:val="20"/>
                <w:szCs w:val="20"/>
              </w:rPr>
              <w:t>The Strategic Risk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Without a coherent, high-fidelity system, ArkLife risked being indistinguishable from generic chatbot or avatar apps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High-net-worth individuals and institutional partners demand absolute data security and biological continuity — neither was achievable with the existing setup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Losing the human essence in the translation to digital would undermine the platform's entire value proposition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The gap between vision and execution threatened to stall strategic partnerships with genomic research institutions before they could begin</w:t>
            </w:r>
          </w:p>
        </w:tc>
      </w:tr>
    </w:tbl>
    <w:p>
      <w:pPr>
        <w:pStyle w:val="Normal"/>
        <w:spacing w:before="240" w:after="0"/>
        <w:rPr/>
      </w:pPr>
      <w:r>
        <w:rPr/>
      </w:r>
    </w:p>
    <w:p>
      <w:pPr>
        <w:pStyle w:val="Heading1"/>
        <w:spacing w:before="360" w:after="120"/>
        <w:rPr/>
      </w:pPr>
      <w:r>
        <w:rPr>
          <w:rFonts w:eastAsia="Arial" w:cs="Arial" w:ascii="Arial" w:hAnsi="Arial"/>
          <w:b/>
          <w:bCs/>
          <w:color w:val="0A1628"/>
          <w:sz w:val="30"/>
          <w:szCs w:val="30"/>
        </w:rPr>
        <w:t>What We Built</w:t>
      </w:r>
    </w:p>
    <w:p>
      <w:pPr>
        <w:pStyle w:val="Normal"/>
        <w:spacing w:before="0" w:after="100"/>
        <w:rPr/>
      </w:pPr>
      <w:r>
        <w:rPr>
          <w:rFonts w:eastAsia="Arial" w:cs="Arial"/>
          <w:b/>
          <w:bCs/>
          <w:color w:val="C8973A"/>
          <w:sz w:val="22"/>
          <w:szCs w:val="22"/>
        </w:rPr>
        <w:t>The Neural Engine, Biometric Lab &amp; Memory Vault</w:t>
      </w:r>
    </w:p>
    <w:p>
      <w:pPr>
        <w:pStyle w:val="Normal"/>
        <w:pBdr>
          <w:bottom w:val="single" w:sz="4" w:space="1" w:color="C8973A"/>
        </w:pBdr>
        <w:spacing w:before="80" w:after="80"/>
        <w:rPr/>
      </w:pPr>
      <w:r>
        <w:rPr/>
      </w:r>
    </w:p>
    <w:p>
      <w:pPr>
        <w:pStyle w:val="Normal"/>
        <w:spacing w:before="60" w:after="0"/>
        <w:rPr/>
      </w:pPr>
      <w:r>
        <w:rPr/>
      </w:r>
    </w:p>
    <w:p>
      <w:pPr>
        <w:pStyle w:val="Normal"/>
        <w:spacing w:lineRule="auto" w:line="310" w:before="60" w:after="10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2C3E50"/>
          <w:sz w:val="21"/>
          <w:szCs w:val="21"/>
        </w:rPr>
        <w:t>We built three tightly integrated systems that together transform a set of photos, voice samples, and personal documents into a responsive, lifelike Digital Twin — automatically and at scale.</w:t>
      </w:r>
    </w:p>
    <w:p>
      <w:pPr>
        <w:pStyle w:val="Normal"/>
        <w:spacing w:before="160" w:after="0"/>
        <w:rPr/>
      </w:pPr>
      <w:r>
        <w:rPr/>
      </w:r>
    </w:p>
    <w:p>
      <w:pPr>
        <w:pStyle w:val="Heading2"/>
        <w:spacing w:before="240" w:after="100"/>
        <w:rPr/>
      </w:pPr>
      <w:r>
        <w:rPr>
          <w:rFonts w:eastAsia="Arial" w:cs="Arial" w:ascii="Arial" w:hAnsi="Arial"/>
          <w:b/>
          <w:bCs/>
          <w:color w:val="1E3A5F"/>
          <w:sz w:val="24"/>
          <w:szCs w:val="24"/>
        </w:rPr>
        <w:t>The Biometric Lab — Automated Fusion Pipeline</w:t>
      </w:r>
    </w:p>
    <w:p>
      <w:pPr>
        <w:pStyle w:val="Normal"/>
        <w:spacing w:lineRule="auto" w:line="310" w:before="60" w:after="10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2C3E50"/>
          <w:sz w:val="21"/>
          <w:szCs w:val="21"/>
        </w:rPr>
        <w:t>The Biometric Lab is where a user's raw biological inputs are transformed into a digital identity. The user provides a Hero Image, 20 reference photos, and 10 voice samples. From that point, everything is automated.</w:t>
      </w:r>
    </w:p>
    <w:p>
      <w:pPr>
        <w:pStyle w:val="Normal"/>
        <w:spacing w:before="6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Audio is automatically cleaned and processed before being passed to the voice cloning engine</w:t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ElevenLabs Instant Voice Cloning captures the user's unique vocal signature — tone, cadence, inflection — and generates a persistent neural voice model</w:t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SadTalker maps facial motion coefficients from the reference photos, enabling the avatar to animate in sync with generated speech</w:t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GFPGAN enhances and upscales facial detail to maintain high resolution across all animation frames</w:t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The entire fusion pipeline runs end-to-end without manual intervention — a ready-to-talk Digital Twin is produced in under 15 minutes</w:t>
      </w:r>
    </w:p>
    <w:p>
      <w:pPr>
        <w:pStyle w:val="Normal"/>
        <w:spacing w:before="160" w:after="0"/>
        <w:rPr/>
      </w:pPr>
      <w:r>
        <w:rPr/>
      </w:r>
    </w:p>
    <w:p>
      <w:pPr>
        <w:pStyle w:val="Heading2"/>
        <w:spacing w:before="240" w:after="100"/>
        <w:rPr/>
      </w:pPr>
      <w:r>
        <w:rPr>
          <w:rFonts w:eastAsia="Arial" w:cs="Arial" w:ascii="Arial" w:hAnsi="Arial"/>
          <w:b/>
          <w:bCs/>
          <w:color w:val="1E3A5F"/>
          <w:sz w:val="24"/>
          <w:szCs w:val="24"/>
        </w:rPr>
        <w:t>The Neural Engine — RAG-Powered Memory Vault</w:t>
      </w:r>
    </w:p>
    <w:p>
      <w:pPr>
        <w:pStyle w:val="Normal"/>
        <w:spacing w:lineRule="auto" w:line="310" w:before="60" w:after="10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2C3E50"/>
          <w:sz w:val="21"/>
          <w:szCs w:val="21"/>
        </w:rPr>
        <w:t>The Neural Engine is the cognitive core of the platform. It gives the Digital Twin access to the user's actual history, documents, and personality — so it responds as that person, not as a generic AI.</w:t>
      </w:r>
    </w:p>
    <w:p>
      <w:pPr>
        <w:pStyle w:val="Normal"/>
        <w:spacing w:before="6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Personal documents, letters, diaries, and life history are ingested and chunked into a siloed Vector Database per user</w:t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MongoDB Atlas Vector Search enables semantic retrieval — the twin pulls relevant memories and context before generating any response</w:t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GPT-4 is grounded by the RAG pipeline, ensuring responses are based on the user's actual knowledge and life story rather than generic model output</w:t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Each user's Memory Vault is fully isolated — no data leakage between twins, meeting the security standards required by high-net-worth clients</w:t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The vault is persistent and expandable — new documents can be added at any time, making the twin more detailed over time</w:t>
      </w:r>
    </w:p>
    <w:p>
      <w:pPr>
        <w:pStyle w:val="Normal"/>
        <w:spacing w:before="160" w:after="0"/>
        <w:rPr/>
      </w:pPr>
      <w:r>
        <w:rPr/>
      </w:r>
    </w:p>
    <w:p>
      <w:pPr>
        <w:pStyle w:val="Heading2"/>
        <w:spacing w:before="240" w:after="100"/>
        <w:rPr/>
      </w:pPr>
      <w:r>
        <w:rPr>
          <w:rFonts w:eastAsia="Arial" w:cs="Arial" w:ascii="Arial" w:hAnsi="Arial"/>
          <w:b/>
          <w:bCs/>
          <w:color w:val="1E3A5F"/>
          <w:sz w:val="24"/>
          <w:szCs w:val="24"/>
        </w:rPr>
        <w:t>The Command Center — Platform &amp; Admin UI</w:t>
      </w:r>
    </w:p>
    <w:p>
      <w:pPr>
        <w:pStyle w:val="Normal"/>
        <w:spacing w:lineRule="auto" w:line="310" w:before="60" w:after="10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2C3E50"/>
          <w:sz w:val="21"/>
          <w:szCs w:val="21"/>
        </w:rPr>
        <w:t>The user-facing platform gives clients full control over their Digital Twin — uploading biometric data, managing the Memory Vault, reviewing conversation history, and controlling platform settings.</w:t>
      </w:r>
    </w:p>
    <w:p>
      <w:pPr>
        <w:pStyle w:val="Normal"/>
        <w:spacing w:before="6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Streamlined onboarding flow guides users through uploading their Hero Image, reference photos, and voice samples</w:t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Memory Vault management — upload, organize, and expand the documents that form the twin's consciousness</w:t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Live conversation interface — interact with the Digital Twin directly from the platform</w:t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Subscription and billing management built into the dashboard</w:t>
      </w:r>
    </w:p>
    <w:p>
      <w:pPr>
        <w:pStyle w:val="Normal"/>
        <w:spacing w:before="16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60" w:type="dxa"/>
          <w:start w:w="220" w:type="dxa"/>
          <w:bottom w:w="160" w:type="dxa"/>
          <w:end w:w="2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8" w:space="0" w:color="C8973A"/>
            </w:tcBorders>
            <w:shd w:fill="F3EEF8" w:val="clear"/>
          </w:tcPr>
          <w:p>
            <w:pPr>
              <w:pStyle w:val="Normal"/>
              <w:spacing w:before="0" w:after="80"/>
              <w:rPr/>
            </w:pPr>
            <w:r>
              <w:rPr>
                <w:rFonts w:eastAsia="Arial" w:cs="Arial"/>
                <w:b/>
                <w:bCs/>
                <w:color w:val="4A235A"/>
                <w:sz w:val="21"/>
                <w:szCs w:val="21"/>
              </w:rPr>
              <w:t>End-to-End: From Upload to Living Digital Twin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40" w:after="40"/>
              <w:rPr/>
            </w:pPr>
            <w:r>
              <w:rPr>
                <w:rFonts w:eastAsia="Arial" w:cs="Arial"/>
                <w:color w:val="2C3E50"/>
                <w:sz w:val="20"/>
                <w:szCs w:val="20"/>
              </w:rPr>
              <w:t>User uploads Hero Image, 20 reference photos, and 10 voice samples to the Biometric Lab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40" w:after="40"/>
              <w:rPr/>
            </w:pPr>
            <w:r>
              <w:rPr>
                <w:rFonts w:eastAsia="Arial" w:cs="Arial"/>
                <w:color w:val="2C3E50"/>
                <w:sz w:val="20"/>
                <w:szCs w:val="20"/>
              </w:rPr>
              <w:t>Backend automatically cleans audio, clones the vocal signature via ElevenLabs, and maps facial motion via SadTalker/GFPGAN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40" w:after="40"/>
              <w:rPr/>
            </w:pPr>
            <w:r>
              <w:rPr>
                <w:rFonts w:eastAsia="Arial" w:cs="Arial"/>
                <w:color w:val="2C3E50"/>
                <w:sz w:val="20"/>
                <w:szCs w:val="20"/>
              </w:rPr>
              <w:t>A siloed Vector Database is initialized and populated with the user's personal documents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40" w:after="40"/>
              <w:rPr/>
            </w:pPr>
            <w:r>
              <w:rPr>
                <w:rFonts w:eastAsia="Arial" w:cs="Arial"/>
                <w:color w:val="2C3E50"/>
                <w:sz w:val="20"/>
                <w:szCs w:val="20"/>
              </w:rPr>
              <w:t>Digital Twin is activated — voice-cloned, fully animated, and grounded in the user's own memory and history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40" w:after="40"/>
              <w:rPr/>
            </w:pPr>
            <w:r>
              <w:rPr>
                <w:rFonts w:eastAsia="Arial" w:cs="Arial"/>
                <w:color w:val="2C3E50"/>
                <w:sz w:val="20"/>
                <w:szCs w:val="20"/>
              </w:rPr>
              <w:t>Total time from upload to live twin: under 15 minutes. Manual editing required: none</w:t>
            </w:r>
          </w:p>
        </w:tc>
      </w:tr>
    </w:tbl>
    <w:p>
      <w:pPr>
        <w:pStyle w:val="Normal"/>
        <w:spacing w:before="280" w:after="0"/>
        <w:rPr/>
      </w:pPr>
      <w:r>
        <w:rPr/>
      </w:r>
    </w:p>
    <w:p>
      <w:pPr>
        <w:pStyle w:val="Heading1"/>
        <w:spacing w:before="360" w:after="120"/>
        <w:rPr/>
      </w:pPr>
      <w:r>
        <w:rPr>
          <w:rFonts w:eastAsia="Arial" w:cs="Arial" w:ascii="Arial" w:hAnsi="Arial"/>
          <w:b/>
          <w:bCs/>
          <w:color w:val="0A1628"/>
          <w:sz w:val="30"/>
          <w:szCs w:val="30"/>
        </w:rPr>
        <w:t>How We Built It</w:t>
      </w:r>
    </w:p>
    <w:p>
      <w:pPr>
        <w:pStyle w:val="Normal"/>
        <w:spacing w:before="0" w:after="100"/>
        <w:rPr/>
      </w:pPr>
      <w:r>
        <w:rPr>
          <w:rFonts w:eastAsia="Arial" w:cs="Arial"/>
          <w:b/>
          <w:bCs/>
          <w:color w:val="C8973A"/>
          <w:sz w:val="22"/>
          <w:szCs w:val="22"/>
        </w:rPr>
        <w:t>Pipeline Orchestration, Latency Optimization &amp; AI Stack</w:t>
      </w:r>
    </w:p>
    <w:p>
      <w:pPr>
        <w:pStyle w:val="Normal"/>
        <w:pBdr>
          <w:bottom w:val="single" w:sz="4" w:space="1" w:color="C8973A"/>
        </w:pBdr>
        <w:spacing w:before="80" w:after="80"/>
        <w:rPr/>
      </w:pPr>
      <w:r>
        <w:rPr/>
      </w:r>
    </w:p>
    <w:p>
      <w:pPr>
        <w:pStyle w:val="Normal"/>
        <w:spacing w:before="60" w:after="0"/>
        <w:rPr/>
      </w:pPr>
      <w:r>
        <w:rPr/>
      </w:r>
    </w:p>
    <w:p>
      <w:pPr>
        <w:pStyle w:val="Heading2"/>
        <w:spacing w:before="240" w:after="100"/>
        <w:rPr/>
      </w:pPr>
      <w:r>
        <w:rPr>
          <w:rFonts w:eastAsia="Arial" w:cs="Arial" w:ascii="Arial" w:hAnsi="Arial"/>
          <w:b/>
          <w:bCs/>
          <w:color w:val="1E3A5F"/>
          <w:sz w:val="24"/>
          <w:szCs w:val="24"/>
        </w:rPr>
        <w:t>The Core Engineering Challenge: Synchronization Latency</w:t>
      </w:r>
    </w:p>
    <w:p>
      <w:pPr>
        <w:pStyle w:val="Normal"/>
        <w:spacing w:lineRule="auto" w:line="310" w:before="60" w:after="10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2C3E50"/>
          <w:sz w:val="21"/>
          <w:szCs w:val="21"/>
        </w:rPr>
        <w:t>The hardest problem was orchestrating real-time synchronization between three independently demanding systems: the facial animation pipeline, the voice synthesis engine, and the RAG memory retrieval layer. Each adds latency. Together, if poorly orchestrated, they make the avatar feel mechanical and unresponsive.</w:t>
      </w:r>
    </w:p>
    <w:p>
      <w:pPr>
        <w:pStyle w:val="Normal"/>
        <w:spacing w:before="6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SadTalker translates audio phonemes into 3D facial motion coefficients frame-by-frame — computationally intensive and sensitive to input quality</w:t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GFPGAN runs on top of SadTalker output to maintain high-resolution facial detail without degrading animation speed</w:t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The RAG pipeline must retrieve semantically relevant memory chunks from the Vector Database fast enough to feed context to GPT-4 before the response is generated</w:t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color w:val="2C3E50"/>
          <w:sz w:val="21"/>
          <w:szCs w:val="21"/>
        </w:rPr>
        <w:t>Deep optimization of the Node.js runtime and Vector search query patterns was required to keep the full pipeline within acceptable response latency for a natural conversational experience</w:t>
      </w:r>
    </w:p>
    <w:p>
      <w:pPr>
        <w:pStyle w:val="Normal"/>
        <w:spacing w:before="140" w:after="0"/>
        <w:rPr/>
      </w:pPr>
      <w:r>
        <w:rPr/>
      </w:r>
    </w:p>
    <w:p>
      <w:pPr>
        <w:pStyle w:val="Heading2"/>
        <w:spacing w:before="240" w:after="100"/>
        <w:rPr/>
      </w:pPr>
      <w:r>
        <w:rPr>
          <w:rFonts w:eastAsia="Arial" w:cs="Arial" w:ascii="Arial" w:hAnsi="Arial"/>
          <w:b/>
          <w:bCs/>
          <w:color w:val="1E3A5F"/>
          <w:sz w:val="24"/>
          <w:szCs w:val="24"/>
        </w:rPr>
        <w:t>Technology Stack</w:t>
      </w:r>
    </w:p>
    <w:tbl>
      <w:tblPr>
        <w:tblW w:w="9360" w:type="dxa"/>
        <w:jc w:val="start"/>
        <w:tblInd w:w="0" w:type="dxa"/>
        <w:tblLayout w:type="fixed"/>
        <w:tblCellMar>
          <w:top w:w="140" w:type="dxa"/>
          <w:start w:w="180" w:type="dxa"/>
          <w:bottom w:w="140" w:type="dxa"/>
          <w:end w:w="180" w:type="dxa"/>
        </w:tblCellMar>
      </w:tblPr>
      <w:tblGrid>
        <w:gridCol w:w="4620"/>
        <w:gridCol w:w="4740"/>
      </w:tblGrid>
      <w:tr>
        <w:trPr/>
        <w:tc>
          <w:tcPr>
            <w:tcW w:w="4620" w:type="dxa"/>
            <w:tcBorders/>
            <w:shd w:fill="F3EEF8" w:val="clear"/>
          </w:tcPr>
          <w:p>
            <w:pPr>
              <w:pStyle w:val="Normal"/>
              <w:spacing w:before="0" w:after="70"/>
              <w:rPr/>
            </w:pPr>
            <w:r>
              <w:rPr>
                <w:rFonts w:eastAsia="Arial" w:cs="Arial"/>
                <w:b/>
                <w:bCs/>
                <w:color w:val="1E3A5F"/>
                <w:sz w:val="20"/>
                <w:szCs w:val="20"/>
              </w:rPr>
              <w:t>Backend &amp; AI Infrastructure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Node.js + TypeScript — API server and pipeline orchestration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MongoDB Atlas Vector Search — semantic memory retrieval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GPT-4 — conversational intelligence, grounded by RAG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ElevenLabs IVC — neural voice cloning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SadTalker — audio-to-facial-motion synthesis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GFPGAN — facial super-resolution and enhancement</w:t>
            </w:r>
          </w:p>
        </w:tc>
        <w:tc>
          <w:tcPr>
            <w:tcW w:w="4740" w:type="dxa"/>
            <w:tcBorders/>
            <w:shd w:fill="F5F7FA" w:val="clear"/>
          </w:tcPr>
          <w:p>
            <w:pPr>
              <w:pStyle w:val="Normal"/>
              <w:spacing w:before="0" w:after="70"/>
              <w:rPr/>
            </w:pPr>
            <w:r>
              <w:rPr>
                <w:rFonts w:eastAsia="Arial" w:cs="Arial"/>
                <w:b/>
                <w:bCs/>
                <w:color w:val="1E3A5F"/>
                <w:sz w:val="20"/>
                <w:szCs w:val="20"/>
              </w:rPr>
              <w:t>Frontend &amp; Platform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Next.js 14 — Command Center UI and platform frontend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Tailwind CSS — UI design system</w:t>
            </w:r>
          </w:p>
          <w:p>
            <w:pPr>
              <w:pStyle w:val="Normal"/>
              <w:spacing w:before="40" w:after="0"/>
              <w:rPr/>
            </w:pPr>
            <w:r>
              <w:rPr/>
            </w:r>
          </w:p>
          <w:p>
            <w:pPr>
              <w:pStyle w:val="Normal"/>
              <w:spacing w:before="60" w:after="70"/>
              <w:rPr/>
            </w:pPr>
            <w:r>
              <w:rPr>
                <w:rFonts w:eastAsia="Arial" w:cs="Arial"/>
                <w:b/>
                <w:bCs/>
                <w:color w:val="1E3A5F"/>
                <w:sz w:val="20"/>
                <w:szCs w:val="20"/>
              </w:rPr>
              <w:t>Hardest Problems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Real-time synchronization of facial animation, voice synthesis, and memory retrieval without perceptible latency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90" w:before="50" w:after="50"/>
              <w:rPr/>
            </w:pPr>
            <w:r>
              <w:rPr>
                <w:rFonts w:eastAsia="Arial" w:cs="Arial"/>
                <w:color w:val="2C3E50"/>
                <w:sz w:val="21"/>
                <w:szCs w:val="21"/>
              </w:rPr>
              <w:t>Maintaining high-resolution facial fidelity at animation speed under compute constraints</w:t>
            </w:r>
          </w:p>
        </w:tc>
      </w:tr>
    </w:tbl>
    <w:p>
      <w:pPr>
        <w:pStyle w:val="Normal"/>
        <w:spacing w:before="280" w:after="0"/>
        <w:rPr/>
      </w:pPr>
      <w:r>
        <w:rPr/>
      </w:r>
    </w:p>
    <w:p>
      <w:pPr>
        <w:pStyle w:val="Heading1"/>
        <w:spacing w:before="360" w:after="120"/>
        <w:rPr/>
      </w:pPr>
      <w:r>
        <w:rPr>
          <w:rFonts w:eastAsia="Arial" w:cs="Arial" w:ascii="Arial" w:hAnsi="Arial"/>
          <w:b/>
          <w:bCs/>
          <w:color w:val="0A1628"/>
          <w:sz w:val="30"/>
          <w:szCs w:val="30"/>
        </w:rPr>
        <w:t>The Results</w:t>
      </w:r>
    </w:p>
    <w:p>
      <w:pPr>
        <w:pStyle w:val="Normal"/>
        <w:spacing w:before="0" w:after="100"/>
        <w:rPr/>
      </w:pPr>
      <w:r>
        <w:rPr>
          <w:rFonts w:eastAsia="Arial" w:cs="Arial"/>
          <w:b/>
          <w:bCs/>
          <w:color w:val="C8973A"/>
          <w:sz w:val="22"/>
          <w:szCs w:val="22"/>
        </w:rPr>
        <w:t>From Concept to Platform-Ready in Production</w:t>
      </w:r>
    </w:p>
    <w:p>
      <w:pPr>
        <w:pStyle w:val="Normal"/>
        <w:pBdr>
          <w:bottom w:val="single" w:sz="4" w:space="1" w:color="C8973A"/>
        </w:pBdr>
        <w:spacing w:before="80" w:after="80"/>
        <w:rPr/>
      </w:pPr>
      <w:r>
        <w:rPr/>
      </w:r>
    </w:p>
    <w:p>
      <w:pPr>
        <w:pStyle w:val="Normal"/>
        <w:spacing w:before="8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80" w:type="dxa"/>
          <w:start w:w="140" w:type="dxa"/>
          <w:bottom w:w="180" w:type="dxa"/>
          <w:end w:w="140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  <w:shd w:fill="0A1628" w:val="clear"/>
          </w:tcPr>
          <w:p>
            <w:pPr>
              <w:pStyle w:val="Normal"/>
              <w:spacing w:before="0" w:after="40"/>
              <w:jc w:val="center"/>
              <w:rPr/>
            </w:pPr>
            <w:r>
              <w:rPr>
                <w:rFonts w:eastAsia="Arial" w:cs="Arial"/>
                <w:b/>
                <w:bCs/>
                <w:color w:val="C8973A"/>
                <w:sz w:val="40"/>
                <w:szCs w:val="40"/>
              </w:rPr>
              <w:t>95%</w:t>
            </w:r>
          </w:p>
          <w:p>
            <w:pPr>
              <w:pStyle w:val="Normal"/>
              <w:spacing w:before="0" w:after="30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Faster Avatar Creation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i/>
                <w:iCs/>
                <w:color w:val="99BBDD"/>
                <w:sz w:val="15"/>
                <w:szCs w:val="15"/>
              </w:rPr>
              <w:t>Days reduced to 15 minutes</w:t>
            </w:r>
          </w:p>
        </w:tc>
        <w:tc>
          <w:tcPr>
            <w:tcW w:w="2340" w:type="dxa"/>
            <w:tcBorders/>
            <w:shd w:fill="0A1628" w:val="clear"/>
          </w:tcPr>
          <w:p>
            <w:pPr>
              <w:pStyle w:val="Normal"/>
              <w:spacing w:before="0" w:after="40"/>
              <w:jc w:val="center"/>
              <w:rPr/>
            </w:pPr>
            <w:r>
              <w:rPr>
                <w:rFonts w:eastAsia="Arial" w:cs="Arial"/>
                <w:b/>
                <w:bCs/>
                <w:color w:val="C8973A"/>
                <w:sz w:val="40"/>
                <w:szCs w:val="40"/>
              </w:rPr>
              <w:t>15 min</w:t>
            </w:r>
          </w:p>
          <w:p>
            <w:pPr>
              <w:pStyle w:val="Normal"/>
              <w:spacing w:before="0" w:after="30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Twin Deployment Time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i/>
                <w:iCs/>
                <w:color w:val="99BBDD"/>
                <w:sz w:val="15"/>
                <w:szCs w:val="15"/>
              </w:rPr>
              <w:t>Fully automated pipeline</w:t>
            </w:r>
          </w:p>
        </w:tc>
        <w:tc>
          <w:tcPr>
            <w:tcW w:w="2340" w:type="dxa"/>
            <w:tcBorders/>
            <w:shd w:fill="0A1628" w:val="clear"/>
          </w:tcPr>
          <w:p>
            <w:pPr>
              <w:pStyle w:val="Normal"/>
              <w:spacing w:before="0" w:after="40"/>
              <w:jc w:val="center"/>
              <w:rPr/>
            </w:pPr>
            <w:r>
              <w:rPr>
                <w:rFonts w:eastAsia="Arial" w:cs="Arial"/>
                <w:b/>
                <w:bCs/>
                <w:color w:val="C8973A"/>
                <w:sz w:val="40"/>
                <w:szCs w:val="40"/>
              </w:rPr>
              <w:t>3-in-1</w:t>
            </w:r>
          </w:p>
          <w:p>
            <w:pPr>
              <w:pStyle w:val="Normal"/>
              <w:spacing w:before="0" w:after="30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Biometric Fusion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i/>
                <w:iCs/>
                <w:color w:val="99BBDD"/>
                <w:sz w:val="15"/>
                <w:szCs w:val="15"/>
              </w:rPr>
              <w:t>Voice + Face + Memory</w:t>
            </w:r>
          </w:p>
        </w:tc>
        <w:tc>
          <w:tcPr>
            <w:tcW w:w="2340" w:type="dxa"/>
            <w:tcBorders/>
            <w:shd w:fill="0A1628" w:val="clear"/>
          </w:tcPr>
          <w:p>
            <w:pPr>
              <w:pStyle w:val="Normal"/>
              <w:spacing w:before="0" w:after="40"/>
              <w:jc w:val="center"/>
              <w:rPr/>
            </w:pPr>
            <w:r>
              <w:rPr>
                <w:rFonts w:eastAsia="Arial" w:cs="Arial"/>
                <w:b/>
                <w:bCs/>
                <w:color w:val="C8973A"/>
                <w:sz w:val="40"/>
                <w:szCs w:val="40"/>
              </w:rPr>
              <w:t>RAG</w:t>
            </w:r>
          </w:p>
          <w:p>
            <w:pPr>
              <w:pStyle w:val="Normal"/>
              <w:spacing w:before="0" w:after="30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Memory Architecture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i/>
                <w:iCs/>
                <w:color w:val="99BBDD"/>
                <w:sz w:val="15"/>
                <w:szCs w:val="15"/>
              </w:rPr>
              <w:t>Persistent Neural Vault</w:t>
            </w:r>
          </w:p>
        </w:tc>
      </w:tr>
    </w:tbl>
    <w:p>
      <w:pPr>
        <w:pStyle w:val="Normal"/>
        <w:spacing w:before="16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b/>
          <w:bCs/>
          <w:color w:val="1E3A5F"/>
          <w:sz w:val="21"/>
          <w:szCs w:val="21"/>
        </w:rPr>
        <w:t xml:space="preserve">95% faster twin creation: </w:t>
      </w:r>
      <w:r>
        <w:rPr>
          <w:rFonts w:eastAsia="Arial" w:cs="Arial"/>
          <w:color w:val="2C3E50"/>
          <w:sz w:val="21"/>
          <w:szCs w:val="21"/>
        </w:rPr>
        <w:t>Reduced from days to under 15 minutes</w:t>
      </w:r>
    </w:p>
    <w:p>
      <w:pPr>
        <w:pStyle w:val="Normal"/>
        <w:spacing w:lineRule="auto" w:line="310" w:before="60" w:after="10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445566"/>
          <w:sz w:val="21"/>
          <w:szCs w:val="21"/>
        </w:rPr>
        <w:t>The entire biometric fusion and memory initialization pipeline — previously a multi-day manual process — is now fully automated and completes in under 15 minutes per user.</w:t>
      </w:r>
    </w:p>
    <w:p>
      <w:pPr>
        <w:pStyle w:val="Normal"/>
        <w:spacing w:before="6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b/>
          <w:bCs/>
          <w:color w:val="1E3A5F"/>
          <w:sz w:val="21"/>
          <w:szCs w:val="21"/>
        </w:rPr>
        <w:t xml:space="preserve">Genuine personal continuity: </w:t>
      </w:r>
      <w:r>
        <w:rPr>
          <w:rFonts w:eastAsia="Arial" w:cs="Arial"/>
          <w:color w:val="2C3E50"/>
          <w:sz w:val="21"/>
          <w:szCs w:val="21"/>
        </w:rPr>
        <w:t>Each twin responds using its owner's actual life history, not generic AI output</w:t>
      </w:r>
    </w:p>
    <w:p>
      <w:pPr>
        <w:pStyle w:val="Normal"/>
        <w:spacing w:lineRule="auto" w:line="310" w:before="60" w:after="10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445566"/>
          <w:sz w:val="21"/>
          <w:szCs w:val="21"/>
        </w:rPr>
        <w:t>The RAG-powered Memory Vault ensures the Digital Twin is grounded in the user's own documents, memories, and personality — making interactions feel meaningfully personal.</w:t>
      </w:r>
    </w:p>
    <w:p>
      <w:pPr>
        <w:pStyle w:val="Normal"/>
        <w:spacing w:before="6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b/>
          <w:bCs/>
          <w:color w:val="1E3A5F"/>
          <w:sz w:val="21"/>
          <w:szCs w:val="21"/>
        </w:rPr>
        <w:t xml:space="preserve">Enterprise-grade data security: </w:t>
      </w:r>
      <w:r>
        <w:rPr>
          <w:rFonts w:eastAsia="Arial" w:cs="Arial"/>
          <w:color w:val="2C3E50"/>
          <w:sz w:val="21"/>
          <w:szCs w:val="21"/>
        </w:rPr>
        <w:t>Fully siloed per-user Vector Databases with no cross-contamination</w:t>
      </w:r>
    </w:p>
    <w:p>
      <w:pPr>
        <w:pStyle w:val="Normal"/>
        <w:spacing w:lineRule="auto" w:line="310" w:before="60" w:after="10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445566"/>
          <w:sz w:val="21"/>
          <w:szCs w:val="21"/>
        </w:rPr>
        <w:t>The architecture meets the data isolation and security standards required by high-net-worth individuals and institutional partners — a prerequisite for the genomic research partnerships ArkLife is pursuing.</w:t>
      </w:r>
    </w:p>
    <w:p>
      <w:pPr>
        <w:pStyle w:val="Normal"/>
        <w:spacing w:before="6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90" w:before="50" w:after="50"/>
        <w:rPr/>
      </w:pPr>
      <w:r>
        <w:rPr>
          <w:rFonts w:eastAsia="Arial" w:cs="Arial"/>
          <w:b/>
          <w:bCs/>
          <w:color w:val="1E3A5F"/>
          <w:sz w:val="21"/>
          <w:szCs w:val="21"/>
        </w:rPr>
        <w:t xml:space="preserve">Strategic outcome: </w:t>
      </w:r>
      <w:r>
        <w:rPr>
          <w:rFonts w:eastAsia="Arial" w:cs="Arial"/>
          <w:color w:val="2C3E50"/>
          <w:sz w:val="21"/>
          <w:szCs w:val="21"/>
        </w:rPr>
        <w:t>Transitioned from conceptual startup to functional, partnership-ready platform</w:t>
      </w:r>
    </w:p>
    <w:p>
      <w:pPr>
        <w:pStyle w:val="Normal"/>
        <w:spacing w:lineRule="auto" w:line="310" w:before="60" w:after="10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445566"/>
          <w:sz w:val="21"/>
          <w:szCs w:val="21"/>
        </w:rPr>
        <w:t>ArkLife moved from a vision with no technical foundation to a live platform capable of supporting strategic partnerships with genomic researchers and institutional clients.</w:t>
      </w:r>
    </w:p>
    <w:p>
      <w:pPr>
        <w:pStyle w:val="Normal"/>
        <w:spacing w:before="28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300" w:type="dxa"/>
          <w:start w:w="320" w:type="dxa"/>
          <w:bottom w:w="300" w:type="dxa"/>
          <w:end w:w="320" w:type="dxa"/>
        </w:tblCellMar>
      </w:tblPr>
      <w:tblGrid>
        <w:gridCol w:w="9360"/>
      </w:tblGrid>
      <w:tr>
        <w:trPr/>
        <w:tc>
          <w:tcPr>
            <w:tcW w:w="9360" w:type="dxa"/>
            <w:tcBorders/>
            <w:shd w:fill="0A1628" w:val="clear"/>
          </w:tcPr>
          <w:p>
            <w:pPr>
              <w:pStyle w:val="Normal"/>
              <w:spacing w:before="0" w:after="60"/>
              <w:jc w:val="center"/>
              <w:rPr/>
            </w:pPr>
            <w:r>
              <w:rPr>
                <w:rFonts w:eastAsia="Arial" w:cs="Arial"/>
                <w:b/>
                <w:bCs/>
                <w:color w:val="C8973A"/>
                <w:spacing w:val="200"/>
                <w:sz w:val="18"/>
                <w:szCs w:val="18"/>
              </w:rPr>
              <w:t>WHAT COMES NEXT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8"/>
                <w:szCs w:val="28"/>
              </w:rPr>
              <w:t>The Autonomous Legacy Curator</w:t>
            </w:r>
          </w:p>
        </w:tc>
      </w:tr>
    </w:tbl>
    <w:p>
      <w:pPr>
        <w:pStyle w:val="Normal"/>
        <w:spacing w:before="140" w:after="0"/>
        <w:rPr/>
      </w:pPr>
      <w:r>
        <w:rPr/>
      </w:r>
    </w:p>
    <w:p>
      <w:pPr>
        <w:pStyle w:val="Normal"/>
        <w:spacing w:lineRule="auto" w:line="310" w:before="60" w:after="10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2C3E50"/>
          <w:sz w:val="21"/>
          <w:szCs w:val="21"/>
        </w:rPr>
        <w:t>The platform infrastructure is already in place for the next layer: an autonomous agent that keeps the Digital Twin continuously current — without the user needing to manually upload new documents or updates.</w:t>
      </w:r>
    </w:p>
    <w:p>
      <w:pPr>
        <w:pStyle w:val="Normal"/>
        <w:spacing w:before="12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60" w:type="dxa"/>
          <w:start w:w="220" w:type="dxa"/>
          <w:bottom w:w="160" w:type="dxa"/>
          <w:end w:w="2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8" w:space="0" w:color="C8973A"/>
            </w:tcBorders>
            <w:shd w:fill="F3EEF8" w:val="clear"/>
          </w:tcPr>
          <w:p>
            <w:pPr>
              <w:pStyle w:val="Normal"/>
              <w:spacing w:before="0" w:after="80"/>
              <w:rPr/>
            </w:pPr>
            <w:r>
              <w:rPr>
                <w:rFonts w:eastAsia="Arial" w:cs="Arial"/>
                <w:b/>
                <w:bCs/>
                <w:color w:val="4A235A"/>
                <w:sz w:val="21"/>
                <w:szCs w:val="21"/>
              </w:rPr>
              <w:t>The Autonomous Legacy Curator Agent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40" w:after="40"/>
              <w:rPr/>
            </w:pPr>
            <w:r>
              <w:rPr>
                <w:rFonts w:eastAsia="Arial" w:cs="Arial"/>
                <w:color w:val="2C3E50"/>
                <w:sz w:val="20"/>
                <w:szCs w:val="20"/>
              </w:rPr>
              <w:t>Monitors connected data sources — health platforms, social feeds, email digests — in real time with user permission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40" w:after="40"/>
              <w:rPr/>
            </w:pPr>
            <w:r>
              <w:rPr>
                <w:rFonts w:eastAsia="Arial" w:cs="Arial"/>
                <w:color w:val="2C3E50"/>
                <w:sz w:val="20"/>
                <w:szCs w:val="20"/>
              </w:rPr>
              <w:t>Automatically identifies new life events, decisions, or information worth preserving in the Memory Vault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40" w:after="40"/>
              <w:rPr/>
            </w:pPr>
            <w:r>
              <w:rPr>
                <w:rFonts w:eastAsia="Arial" w:cs="Arial"/>
                <w:color w:val="2C3E50"/>
                <w:sz w:val="20"/>
                <w:szCs w:val="20"/>
              </w:rPr>
              <w:t>Ingests, chunks, and indexes new data into the user's Vector Database without any manual upload required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40" w:after="40"/>
              <w:rPr/>
            </w:pPr>
            <w:r>
              <w:rPr>
                <w:rFonts w:eastAsia="Arial" w:cs="Arial"/>
                <w:color w:val="2C3E50"/>
                <w:sz w:val="20"/>
                <w:szCs w:val="20"/>
              </w:rPr>
              <w:t>The Digital Twin evolves continuously — becoming more detailed and accurate over time, even when the user is not actively engaging with the platform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40" w:after="40"/>
              <w:rPr/>
            </w:pPr>
            <w:r>
              <w:rPr>
                <w:rFonts w:eastAsia="Arial" w:cs="Arial"/>
                <w:color w:val="2C3E50"/>
                <w:sz w:val="20"/>
                <w:szCs w:val="20"/>
              </w:rPr>
              <w:t>Full audit log of every automatic update, with user controls to review, approve, or remove any addition</w:t>
            </w:r>
          </w:p>
        </w:tc>
      </w:tr>
    </w:tbl>
    <w:p>
      <w:pPr>
        <w:pStyle w:val="Normal"/>
        <w:spacing w:before="140" w:after="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160" w:type="dxa"/>
          <w:start w:w="220" w:type="dxa"/>
          <w:bottom w:w="160" w:type="dxa"/>
          <w:end w:w="220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8" w:space="0" w:color="C8973A"/>
            </w:tcBorders>
            <w:shd w:fill="E8F0F8" w:val="clear"/>
          </w:tcPr>
          <w:p>
            <w:pPr>
              <w:pStyle w:val="Normal"/>
              <w:spacing w:before="0" w:after="80"/>
              <w:rPr/>
            </w:pPr>
            <w:r>
              <w:rPr>
                <w:rFonts w:eastAsia="Arial" w:cs="Arial"/>
                <w:b/>
                <w:bCs/>
                <w:color w:val="1E3A5F"/>
                <w:sz w:val="21"/>
                <w:szCs w:val="21"/>
              </w:rPr>
              <w:t>Additional Agent Roadmap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40" w:after="40"/>
              <w:rPr/>
            </w:pPr>
            <w:r>
              <w:rPr>
                <w:rFonts w:eastAsia="Arial" w:cs="Arial"/>
                <w:color w:val="2C3E50"/>
                <w:sz w:val="20"/>
                <w:szCs w:val="20"/>
              </w:rPr>
              <w:t>Genomic Data Integration Agent — automatically ingests new genomic sequencing results and maps them to the twin's biological profile as research data becomes available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40" w:after="40"/>
              <w:rPr/>
            </w:pPr>
            <w:r>
              <w:rPr>
                <w:rFonts w:eastAsia="Arial" w:cs="Arial"/>
                <w:color w:val="2C3E50"/>
                <w:sz w:val="20"/>
                <w:szCs w:val="20"/>
              </w:rPr>
              <w:t>Conversation Quality Agent — monitors twin interactions, identifies gaps in the Memory Vault, and proactively flags missing context to the user for enrichment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40" w:after="40"/>
              <w:rPr/>
            </w:pPr>
            <w:r>
              <w:rPr>
                <w:rFonts w:eastAsia="Arial" w:cs="Arial"/>
                <w:color w:val="2C3E50"/>
                <w:sz w:val="20"/>
                <w:szCs w:val="20"/>
              </w:rPr>
              <w:t>Legacy Delivery Agent — on pre-configured triggers (dates, events, or conditions), autonomously delivers messages or recordings from the Digital Twin to designated recipients</w:t>
            </w:r>
          </w:p>
        </w:tc>
      </w:tr>
    </w:tbl>
    <w:p>
      <w:pPr>
        <w:pStyle w:val="Normal"/>
        <w:spacing w:before="180" w:after="0"/>
        <w:rPr/>
      </w:pPr>
      <w:r>
        <w:rPr/>
      </w:r>
    </w:p>
    <w:p>
      <w:pPr>
        <w:pStyle w:val="Normal"/>
        <w:spacing w:lineRule="auto" w:line="310" w:before="60" w:after="100"/>
        <w:jc w:val="both"/>
        <w:rPr/>
      </w:pPr>
      <w:r>
        <w:rPr>
          <w:rFonts w:eastAsia="Arial" w:cs="Arial"/>
          <w:b/>
          <w:bCs/>
          <w:i w:val="false"/>
          <w:iCs w:val="false"/>
          <w:color w:val="0A1628"/>
          <w:sz w:val="21"/>
          <w:szCs w:val="21"/>
        </w:rPr>
        <w:t>The Neural Engine is live. The Memory Vault is initialized. The next step is making it self-sustaining.</w:t>
      </w:r>
    </w:p>
    <w:p>
      <w:pPr>
        <w:pStyle w:val="Normal"/>
        <w:spacing w:before="160" w:after="0"/>
        <w:rPr/>
      </w:pPr>
      <w:r>
        <w:rPr/>
      </w:r>
    </w:p>
    <w:p>
      <w:pPr>
        <w:pStyle w:val="Normal"/>
        <w:pBdr>
          <w:bottom w:val="single" w:sz="4" w:space="1" w:color="C8973A"/>
        </w:pBdr>
        <w:spacing w:before="80" w:after="80"/>
        <w:rPr/>
      </w:pPr>
      <w:r>
        <w:rPr/>
      </w:r>
    </w:p>
    <w:p>
      <w:pPr>
        <w:pStyle w:val="Normal"/>
        <w:spacing w:before="100" w:after="0"/>
        <w:rPr/>
      </w:pPr>
      <w:r>
        <w:rPr/>
      </w:r>
    </w:p>
    <w:p>
      <w:pPr>
        <w:pStyle w:val="Normal"/>
        <w:spacing w:before="60" w:after="30"/>
        <w:jc w:val="center"/>
        <w:rPr/>
      </w:pPr>
      <w:r>
        <w:rPr>
          <w:rFonts w:eastAsia="Arial" w:cs="Arial"/>
          <w:b/>
          <w:bCs/>
          <w:color w:val="0A1628"/>
          <w:spacing w:val="300"/>
          <w:sz w:val="26"/>
          <w:szCs w:val="26"/>
        </w:rPr>
        <w:t>Codeligent</w:t>
      </w:r>
    </w:p>
    <w:p>
      <w:pPr>
        <w:pStyle w:val="Normal"/>
        <w:spacing w:before="0" w:after="30"/>
        <w:jc w:val="center"/>
        <w:rPr/>
      </w:pPr>
      <w:r>
        <w:rPr>
          <w:rFonts w:eastAsia="Arial" w:cs="Arial"/>
          <w:color w:val="8899AA"/>
          <w:sz w:val="17"/>
          <w:szCs w:val="17"/>
        </w:rPr>
        <w:t>Autonomous Operations  |  Agentic AI Workflows</w:t>
      </w:r>
    </w:p>
    <w:p>
      <w:pPr>
        <w:pStyle w:val="Normal"/>
        <w:spacing w:before="0" w:after="0"/>
        <w:jc w:val="center"/>
        <w:rPr/>
      </w:pPr>
      <w:r>
        <w:rPr>
          <w:rFonts w:eastAsia="Arial" w:cs="Arial"/>
          <w:i/>
          <w:iCs/>
          <w:color w:val="AABBCC"/>
          <w:sz w:val="15"/>
          <w:szCs w:val="15"/>
        </w:rPr>
        <w:t>Confidential &amp; Proprietary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080" w:right="1080" w:gutter="0" w:header="0" w:top="1080" w:footer="708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D0D8E8"/>
      </w:pBdr>
      <w:spacing w:before="100" w:after="0"/>
      <w:jc w:val="center"/>
      <w:rPr/>
    </w:pPr>
    <w:r>
      <w:rPr>
        <w:rFonts w:eastAsia="Arial" w:cs="Arial"/>
        <w:color w:val="8899AA"/>
        <w:sz w:val="15"/>
        <w:szCs w:val="15"/>
      </w:rPr>
      <w:t>Codeligent  |  Autonomous Operations &amp; Agentic AI Workflows  |  Confidential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D0D8E8"/>
      </w:pBdr>
      <w:spacing w:before="100" w:after="0"/>
      <w:jc w:val="center"/>
      <w:rPr/>
    </w:pPr>
    <w:r>
      <w:rPr>
        <w:rFonts w:eastAsia="Arial" w:cs="Arial"/>
        <w:color w:val="8899AA"/>
        <w:sz w:val="15"/>
        <w:szCs w:val="15"/>
      </w:rPr>
      <w:t>Codeligent  |  Autonomous Operations &amp; Agentic AI Workflows  |  Confidential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50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1"/>
        <w:szCs w:val="21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1"/>
      <w:szCs w:val="21"/>
      <w:lang w:val="en-US" w:eastAsia="zh-CN" w:bidi="hi-IN"/>
    </w:rPr>
  </w:style>
  <w:style w:type="paragraph" w:styleId="Heading1">
    <w:name w:val="heading 1"/>
    <w:basedOn w:val="Heading"/>
    <w:qFormat/>
    <w:pPr>
      <w:spacing w:before="360" w:after="120"/>
      <w:outlineLvl w:val="0"/>
    </w:pPr>
    <w:rPr>
      <w:rFonts w:ascii="Arial" w:hAnsi="Arial" w:eastAsia="Arial" w:cs="Arial"/>
      <w:b/>
      <w:bCs/>
      <w:color w:val="0A1628"/>
      <w:sz w:val="30"/>
      <w:szCs w:val="30"/>
    </w:rPr>
  </w:style>
  <w:style w:type="paragraph" w:styleId="Heading2">
    <w:name w:val="heading 2"/>
    <w:basedOn w:val="Heading"/>
    <w:qFormat/>
    <w:pPr>
      <w:spacing w:before="240" w:after="100"/>
      <w:outlineLvl w:val="1"/>
    </w:pPr>
    <w:rPr>
      <w:rFonts w:ascii="Arial" w:hAnsi="Arial" w:eastAsia="Arial" w:cs="Arial"/>
      <w:b/>
      <w:bCs/>
      <w:color w:val="1E3A5F"/>
      <w:sz w:val="24"/>
      <w:szCs w:val="24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1"/>
      <w:szCs w:val="21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1"/>
      <w:szCs w:val="21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2026-03-08T02:11:59Z</dcterms:created>
  <dc:creator>Un-named</dc:creator>
  <dc:description/>
  <dc:language>en-US</dc:language>
  <cp:lastModifiedBy/>
  <dcterms:modified xsi:type="dcterms:W3CDTF">2026-03-19T15:20:13Z</dcterms:modified>
  <cp:revision>2</cp:revision>
  <dc:subject/>
  <dc:title/>
</cp:coreProperties>
</file>