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1B232E" w:color="auto" w:val="clear"/>
            <w:tcMar>
              <w:top w:type="dxa" w:w="240"/>
              <w:left w:type="dxa" w:w="280"/>
              <w:bottom w:type="dxa" w:w="240"/>
              <w:right w:type="dxa" w:w="280"/>
            </w:tcMar>
          </w:tcPr>
          <w:p>
            <w:pPr>
              <w:spacing w:after="80" w:before="0"/>
            </w:pPr>
            <w:r>
              <w:rPr>
                <w:rFonts w:ascii="Playfair Display" w:cs="Playfair Display" w:eastAsia="Playfair Display" w:hAnsi="Playfair Display"/>
                <w:b/>
                <w:bCs/>
                <w:color w:val="FFFFFF"/>
                <w:sz w:val="28"/>
                <w:szCs w:val="28"/>
              </w:rPr>
              <w:t xml:space="preserve">Codeligent</w:t>
            </w:r>
          </w:p>
          <w:p>
            <w:pPr>
              <w:spacing w:after="160" w:before="0"/>
            </w:pPr>
            <w:r>
              <w:rPr>
                <w:rFonts w:ascii="Manrope" w:cs="Manrope" w:eastAsia="Manrope" w:hAnsi="Manrope"/>
                <w:color w:val="60A5FA"/>
                <w:sz w:val="16"/>
                <w:szCs w:val="16"/>
              </w:rPr>
              <w:t xml:space="preserve">AUTONOMOUS OPERATIONS  │  AGENTIC AI WORKFLOWS</w:t>
            </w:r>
          </w:p>
          <w:p>
            <w:pPr>
              <w:spacing w:after="60" w:before="0"/>
            </w:pPr>
            <w:r>
              <w:rPr>
                <w:rFonts w:ascii="Manrope" w:cs="Manrope" w:eastAsia="Manrope" w:hAnsi="Manrope"/>
                <w:b/>
                <w:bCs/>
                <w:color w:val="FFFFFF"/>
                <w:sz w:val="20"/>
                <w:szCs w:val="20"/>
              </w:rPr>
              <w:t xml:space="preserve">CASE STUDY</w:t>
            </w:r>
          </w:p>
          <w:p>
            <w:pPr>
              <w:spacing w:after="80" w:before="0"/>
            </w:pPr>
            <w:r>
              <w:rPr>
                <w:rFonts w:ascii="Playfair Display" w:cs="Playfair Display" w:eastAsia="Playfair Display" w:hAnsi="Playfair Display"/>
                <w:b/>
                <w:bCs/>
                <w:color w:val="FFFFFF"/>
                <w:sz w:val="56"/>
                <w:szCs w:val="56"/>
              </w:rPr>
              <w:t xml:space="preserve">POLICYSCANNER</w:t>
            </w:r>
          </w:p>
          <w:p>
            <w:pPr>
              <w:spacing w:after="160" w:before="0"/>
            </w:pPr>
            <w:r>
              <w:rPr>
                <w:rFonts w:ascii="Playfair Display" w:cs="Playfair Display" w:eastAsia="Playfair Display" w:hAnsi="Playfair Display"/>
                <w:i/>
                <w:iCs/>
                <w:color w:val="FFFFFF"/>
                <w:sz w:val="22"/>
                <w:szCs w:val="22"/>
              </w:rPr>
              <w:t xml:space="preserve">Canada's Life Insurance Comparison Platform</w:t>
            </w:r>
          </w:p>
          <w:p>
            <w:pPr>
              <w:spacing w:after="0" w:before="0"/>
            </w:pPr>
            <w:r>
              <w:rPr>
                <w:rFonts w:ascii="Inter" w:cs="Inter" w:eastAsia="Inter" w:hAnsi="Inter"/>
                <w:color w:val="CCCCCC"/>
                <w:sz w:val="18"/>
                <w:szCs w:val="18"/>
              </w:rPr>
              <w:t xml:space="preserve">Multi-Insurer Quote Engine  │  Licensed Brokerage Workflow  │  20+ Canadian Carriers</w:t>
            </w:r>
          </w:p>
        </w:tc>
      </w:tr>
    </w:tbl>
    <w:p>
      <w:pPr>
        <w:spacing w:after="280" w:before="0"/>
      </w:pPr>
      <w:r>
        <w:t xml:space="preserve"/>
      </w:r>
    </w:p>
    <w:p>
      <w:pPr>
        <w:spacing w:after="160" w:before="360"/>
      </w:pPr>
      <w:r>
        <w:rPr>
          <w:rFonts w:ascii="Manrope" w:cs="Manrope" w:eastAsia="Manrope" w:hAnsi="Manrope"/>
          <w:b/>
          <w:bCs/>
          <w:color w:val="0755E9"/>
          <w:sz w:val="18"/>
          <w:szCs w:val="18"/>
        </w:rPr>
        <w:t xml:space="preserve">EXECUTIVE SUMMARY</w:t>
      </w:r>
    </w:p>
    <w:p>
      <w:pPr>
        <w:pStyle w:val="Heading1"/>
        <w:spacing w:after="240" w:before="120"/>
      </w:pPr>
      <w:r>
        <w:rPr>
          <w:rFonts w:ascii="Playfair Display" w:cs="Playfair Display" w:eastAsia="Playfair Display" w:hAnsi="Playfair Display"/>
          <w:b/>
          <w:bCs/>
          <w:color w:val="1B232E"/>
          <w:sz w:val="44"/>
          <w:szCs w:val="44"/>
        </w:rPr>
        <w:t xml:space="preserve">Executive Summary</w:t>
      </w:r>
    </w:p>
    <w:p>
      <w:pPr>
        <w:spacing w:after="180" w:before="0" w:line="340"/>
      </w:pPr>
      <w:r>
        <w:rPr>
          <w:rFonts w:ascii="Inter" w:cs="Inter" w:eastAsia="Inter" w:hAnsi="Inter"/>
          <w:color w:val="1B232E"/>
          <w:sz w:val="21"/>
          <w:szCs w:val="21"/>
        </w:rPr>
        <w:t xml:space="preserve">Life insurance in Canada is sold, not bought — and the market was structured to keep it that way. Buyers were funneled toward whichever insurer their bank, broker, or advisor was incentivized to push. Comparing policies across carriers required calling each one individually, filling out duplicate forms, and manually reconciling quotes that weren't even structured the same way. The result: Canadians overpaid systematically, and the few who tried to shop around usually gave up halfway through.</w:t>
      </w:r>
    </w:p>
    <w:p>
      <w:pPr>
        <w:spacing w:after="180" w:before="0" w:line="340"/>
      </w:pPr>
      <w:r>
        <w:rPr>
          <w:rFonts w:ascii="Inter" w:cs="Inter" w:eastAsia="Inter" w:hAnsi="Inter"/>
          <w:color w:val="1B232E"/>
          <w:sz w:val="21"/>
          <w:szCs w:val="21"/>
        </w:rPr>
        <w:t xml:space="preserve">PolicyScanner is a licensed Canadian brokerage platform that collapses the entire comparison process into a two-minute flow. A buyer answers five questions, and the platform instantly returns side-by-side quotes from 20+ Canadian insurers — Manulife, Sun Life, Canada Life, RBC, Desjardins, iA Financial, BMO, Empire Life, Equitable Life, Foresters, Beneva, Assumption Life, and more — with licensed advisor support available on demand.</w:t>
      </w:r>
    </w:p>
    <w:p>
      <w:pPr>
        <w:spacing w:after="180" w:before="0" w:line="340"/>
      </w:pPr>
      <w:r>
        <w:rPr>
          <w:rFonts w:ascii="Inter" w:cs="Inter" w:eastAsia="Inter" w:hAnsi="Inter"/>
          <w:color w:val="1B232E"/>
          <w:sz w:val="21"/>
          <w:szCs w:val="21"/>
        </w:rPr>
        <w:t xml:space="preserve">The engineering challenge was real. Canadian life insurance is not a catalog of products — it's a combinatorial explosion of plans, riders, age bands, health categories, province-specific rules, and carrier-specific underwriting logic. We built a normalized MySQL data model and a rate calculation engine capable of resolving any applicant profile against every relevant variant across every participating carrier — in under two minutes, with full disclosure and audit compliance.</w:t>
      </w:r>
    </w:p>
    <w:p>
      <w:pPr>
        <w:spacing w:after="12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4"/>
              <w:left w:val="single" w:color="CCCCCC" w:sz="4"/>
              <w:bottom w:val="single" w:color="CCCCCC" w:sz="4"/>
              <w:right w:val="single" w:color="CCCCCC" w:sz="4"/>
            </w:tcBorders>
            <w:shd w:fill="F8F8F8" w:color="auto" w:val="clear"/>
            <w:tcMar>
              <w:top w:type="dxa" w:w="200"/>
              <w:left w:type="dxa" w:w="160"/>
              <w:bottom w:type="dxa" w:w="200"/>
              <w:right w:type="dxa" w:w="160"/>
            </w:tcMar>
          </w:tcPr>
          <w:p>
            <w:pPr>
              <w:spacing w:after="60" w:before="0"/>
              <w:jc w:val="center"/>
            </w:pPr>
            <w:r>
              <w:rPr>
                <w:rFonts w:ascii="Manrope" w:cs="Manrope" w:eastAsia="Manrope" w:hAnsi="Manrope"/>
                <w:b/>
                <w:bCs/>
                <w:color w:val="0755E9"/>
                <w:sz w:val="40"/>
                <w:szCs w:val="40"/>
              </w:rPr>
              <w:t xml:space="preserve">20+</w:t>
            </w:r>
          </w:p>
          <w:p>
            <w:pPr>
              <w:spacing w:after="40" w:before="0"/>
              <w:jc w:val="center"/>
            </w:pPr>
            <w:r>
              <w:rPr>
                <w:rFonts w:ascii="Inter" w:cs="Inter" w:eastAsia="Inter" w:hAnsi="Inter"/>
                <w:b/>
                <w:bCs/>
                <w:color w:val="1B232E"/>
                <w:sz w:val="18"/>
                <w:szCs w:val="18"/>
              </w:rPr>
              <w:t xml:space="preserve">Insurers Compared</w:t>
            </w:r>
          </w:p>
          <w:p>
            <w:pPr>
              <w:spacing w:after="0" w:before="0"/>
              <w:jc w:val="center"/>
            </w:pPr>
            <w:r>
              <w:rPr>
                <w:rFonts w:ascii="Inter" w:cs="Inter" w:eastAsia="Inter" w:hAnsi="Inter"/>
                <w:i/>
                <w:iCs/>
                <w:color w:val="5F5F5F"/>
                <w:sz w:val="16"/>
                <w:szCs w:val="16"/>
              </w:rPr>
              <w:t xml:space="preserve">One Unified Engine</w:t>
            </w:r>
          </w:p>
        </w:tc>
        <w:tc>
          <w:tcPr>
            <w:tcW w:type="dxa" w:w="2340"/>
            <w:tcBorders>
              <w:top w:val="single" w:color="CCCCCC" w:sz="4"/>
              <w:left w:val="single" w:color="CCCCCC" w:sz="4"/>
              <w:bottom w:val="single" w:color="CCCCCC" w:sz="4"/>
              <w:right w:val="single" w:color="CCCCCC" w:sz="4"/>
            </w:tcBorders>
            <w:shd w:fill="F8F8F8" w:color="auto" w:val="clear"/>
            <w:tcMar>
              <w:top w:type="dxa" w:w="200"/>
              <w:left w:type="dxa" w:w="160"/>
              <w:bottom w:type="dxa" w:w="200"/>
              <w:right w:type="dxa" w:w="160"/>
            </w:tcMar>
          </w:tcPr>
          <w:p>
            <w:pPr>
              <w:spacing w:after="60" w:before="0"/>
              <w:jc w:val="center"/>
            </w:pPr>
            <w:r>
              <w:rPr>
                <w:rFonts w:ascii="Manrope" w:cs="Manrope" w:eastAsia="Manrope" w:hAnsi="Manrope"/>
                <w:b/>
                <w:bCs/>
                <w:color w:val="0755E9"/>
                <w:sz w:val="40"/>
                <w:szCs w:val="40"/>
              </w:rPr>
              <w:t xml:space="preserve">2 min</w:t>
            </w:r>
          </w:p>
          <w:p>
            <w:pPr>
              <w:spacing w:after="40" w:before="0"/>
              <w:jc w:val="center"/>
            </w:pPr>
            <w:r>
              <w:rPr>
                <w:rFonts w:ascii="Inter" w:cs="Inter" w:eastAsia="Inter" w:hAnsi="Inter"/>
                <w:b/>
                <w:bCs/>
                <w:color w:val="1B232E"/>
                <w:sz w:val="18"/>
                <w:szCs w:val="18"/>
              </w:rPr>
              <w:t xml:space="preserve">Quote-to-Result</w:t>
            </w:r>
          </w:p>
          <w:p>
            <w:pPr>
              <w:spacing w:after="0" w:before="0"/>
              <w:jc w:val="center"/>
            </w:pPr>
            <w:r>
              <w:rPr>
                <w:rFonts w:ascii="Inter" w:cs="Inter" w:eastAsia="Inter" w:hAnsi="Inter"/>
                <w:i/>
                <w:iCs/>
                <w:color w:val="5F5F5F"/>
                <w:sz w:val="16"/>
                <w:szCs w:val="16"/>
              </w:rPr>
              <w:t xml:space="preserve">Side-by-Side Output</w:t>
            </w:r>
          </w:p>
        </w:tc>
        <w:tc>
          <w:tcPr>
            <w:tcW w:type="dxa" w:w="2340"/>
            <w:tcBorders>
              <w:top w:val="single" w:color="CCCCCC" w:sz="4"/>
              <w:left w:val="single" w:color="CCCCCC" w:sz="4"/>
              <w:bottom w:val="single" w:color="CCCCCC" w:sz="4"/>
              <w:right w:val="single" w:color="CCCCCC" w:sz="4"/>
            </w:tcBorders>
            <w:shd w:fill="F8F8F8" w:color="auto" w:val="clear"/>
            <w:tcMar>
              <w:top w:type="dxa" w:w="200"/>
              <w:left w:type="dxa" w:w="160"/>
              <w:bottom w:type="dxa" w:w="200"/>
              <w:right w:type="dxa" w:w="160"/>
            </w:tcMar>
          </w:tcPr>
          <w:p>
            <w:pPr>
              <w:spacing w:after="60" w:before="0"/>
              <w:jc w:val="center"/>
            </w:pPr>
            <w:r>
              <w:rPr>
                <w:rFonts w:ascii="Manrope" w:cs="Manrope" w:eastAsia="Manrope" w:hAnsi="Manrope"/>
                <w:b/>
                <w:bCs/>
                <w:color w:val="0755E9"/>
                <w:sz w:val="40"/>
                <w:szCs w:val="40"/>
              </w:rPr>
              <w:t xml:space="preserve">1,000+</w:t>
            </w:r>
          </w:p>
          <w:p>
            <w:pPr>
              <w:spacing w:after="40" w:before="0"/>
              <w:jc w:val="center"/>
            </w:pPr>
            <w:r>
              <w:rPr>
                <w:rFonts w:ascii="Inter" w:cs="Inter" w:eastAsia="Inter" w:hAnsi="Inter"/>
                <w:b/>
                <w:bCs/>
                <w:color w:val="1B232E"/>
                <w:sz w:val="18"/>
                <w:szCs w:val="18"/>
              </w:rPr>
              <w:t xml:space="preserve">Canadians Helped</w:t>
            </w:r>
          </w:p>
          <w:p>
            <w:pPr>
              <w:spacing w:after="0" w:before="0"/>
              <w:jc w:val="center"/>
            </w:pPr>
            <w:r>
              <w:rPr>
                <w:rFonts w:ascii="Inter" w:cs="Inter" w:eastAsia="Inter" w:hAnsi="Inter"/>
                <w:i/>
                <w:iCs/>
                <w:color w:val="5F5F5F"/>
                <w:sz w:val="16"/>
                <w:szCs w:val="16"/>
              </w:rPr>
              <w:t xml:space="preserve">And Growing</w:t>
            </w:r>
          </w:p>
        </w:tc>
        <w:tc>
          <w:tcPr>
            <w:tcW w:type="dxa" w:w="2340"/>
            <w:tcBorders>
              <w:top w:val="single" w:color="CCCCCC" w:sz="4"/>
              <w:left w:val="single" w:color="CCCCCC" w:sz="4"/>
              <w:bottom w:val="single" w:color="CCCCCC" w:sz="4"/>
              <w:right w:val="single" w:color="CCCCCC" w:sz="4"/>
            </w:tcBorders>
            <w:shd w:fill="F8F8F8" w:color="auto" w:val="clear"/>
            <w:tcMar>
              <w:top w:type="dxa" w:w="200"/>
              <w:left w:type="dxa" w:w="160"/>
              <w:bottom w:type="dxa" w:w="200"/>
              <w:right w:type="dxa" w:w="160"/>
            </w:tcMar>
          </w:tcPr>
          <w:p>
            <w:pPr>
              <w:spacing w:after="60" w:before="0"/>
              <w:jc w:val="center"/>
            </w:pPr>
            <w:r>
              <w:rPr>
                <w:rFonts w:ascii="Manrope" w:cs="Manrope" w:eastAsia="Manrope" w:hAnsi="Manrope"/>
                <w:b/>
                <w:bCs/>
                <w:color w:val="0755E9"/>
                <w:sz w:val="40"/>
                <w:szCs w:val="40"/>
              </w:rPr>
              <w:t xml:space="preserve">4.9/5</w:t>
            </w:r>
          </w:p>
          <w:p>
            <w:pPr>
              <w:spacing w:after="40" w:before="0"/>
              <w:jc w:val="center"/>
            </w:pPr>
            <w:r>
              <w:rPr>
                <w:rFonts w:ascii="Inter" w:cs="Inter" w:eastAsia="Inter" w:hAnsi="Inter"/>
                <w:b/>
                <w:bCs/>
                <w:color w:val="1B232E"/>
                <w:sz w:val="18"/>
                <w:szCs w:val="18"/>
              </w:rPr>
              <w:t xml:space="preserve">Client Rating</w:t>
            </w:r>
          </w:p>
          <w:p>
            <w:pPr>
              <w:spacing w:after="0" w:before="0"/>
              <w:jc w:val="center"/>
            </w:pPr>
            <w:r>
              <w:rPr>
                <w:rFonts w:ascii="Inter" w:cs="Inter" w:eastAsia="Inter" w:hAnsi="Inter"/>
                <w:i/>
                <w:iCs/>
                <w:color w:val="5F5F5F"/>
                <w:sz w:val="16"/>
                <w:szCs w:val="16"/>
              </w:rPr>
              <w:t xml:space="preserve">Google Reviews</w:t>
            </w:r>
          </w:p>
        </w:tc>
      </w:tr>
    </w:tbl>
    <w:p>
      <w:pPr>
        <w:spacing w:after="200" w:before="0"/>
      </w:pPr>
      <w:r>
        <w:t xml:space="preserve"/>
      </w:r>
    </w:p>
    <w:p>
      <w:pPr>
        <w:spacing w:after="160" w:before="360"/>
      </w:pPr>
      <w:r>
        <w:rPr>
          <w:rFonts w:ascii="Manrope" w:cs="Manrope" w:eastAsia="Manrope" w:hAnsi="Manrope"/>
          <w:b/>
          <w:bCs/>
          <w:color w:val="0755E9"/>
          <w:sz w:val="18"/>
          <w:szCs w:val="18"/>
        </w:rPr>
        <w:t xml:space="preserve">THE PROBLEM WE SOLVED</w:t>
      </w:r>
    </w:p>
    <w:p>
      <w:pPr>
        <w:pStyle w:val="Heading1"/>
        <w:spacing w:after="240" w:before="120"/>
      </w:pPr>
      <w:r>
        <w:rPr>
          <w:rFonts w:ascii="Playfair Display" w:cs="Playfair Display" w:eastAsia="Playfair Display" w:hAnsi="Playfair Display"/>
          <w:b/>
          <w:bCs/>
          <w:color w:val="1B232E"/>
          <w:sz w:val="44"/>
          <w:szCs w:val="44"/>
        </w:rPr>
        <w:t xml:space="preserve">The Problem We Solved</w:t>
      </w:r>
    </w:p>
    <w:p>
      <w:pPr>
        <w:pStyle w:val="Heading2"/>
        <w:spacing w:after="160" w:before="320"/>
      </w:pPr>
      <w:r>
        <w:rPr>
          <w:rFonts w:ascii="Playfair Display" w:cs="Playfair Display" w:eastAsia="Playfair Display" w:hAnsi="Playfair Display"/>
          <w:b/>
          <w:bCs/>
          <w:color w:val="1B232E"/>
          <w:sz w:val="32"/>
          <w:szCs w:val="32"/>
        </w:rPr>
        <w:t xml:space="preserve">A Market Built on Information Asymmetry</w:t>
      </w:r>
    </w:p>
    <w:p>
      <w:pPr>
        <w:spacing w:after="180" w:before="0" w:line="340"/>
      </w:pPr>
      <w:r>
        <w:rPr>
          <w:rFonts w:ascii="Inter" w:cs="Inter" w:eastAsia="Inter" w:hAnsi="Inter"/>
          <w:color w:val="1B232E"/>
          <w:sz w:val="21"/>
          <w:szCs w:val="21"/>
        </w:rPr>
        <w:t xml:space="preserve">The Canadian life insurance industry sells through intermediaries — banks, captive agents, tied brokers — each of whom represents a narrow slice of what the market actually offers. A buyer walking into a bank sees that bank's insurance products. A buyer calling a tied agent sees whatever carrier pays that agent the best commission. Nobody in the traditional channel has an economic incentive to show the buyer all their options, because doing so usually means losing the sale to a cheaper competitor.</w:t>
      </w:r>
    </w:p>
    <w:p>
      <w:pPr>
        <w:spacing w:after="180" w:before="0" w:line="340"/>
      </w:pPr>
      <w:r>
        <w:rPr>
          <w:rFonts w:ascii="Inter" w:cs="Inter" w:eastAsia="Inter" w:hAnsi="Inter"/>
          <w:color w:val="1B232E"/>
          <w:sz w:val="21"/>
          <w:szCs w:val="21"/>
        </w:rPr>
        <w:t xml:space="preserve">The result was predictable: Canadians paid more than they needed to, often for policies that weren't even the right fit, because the only way to genuinely compare was to become your own insurance expert for a week.</w:t>
      </w:r>
    </w:p>
    <w:p>
      <w:pPr>
        <w:pStyle w:val="Heading3"/>
        <w:spacing w:after="120" w:before="240"/>
      </w:pPr>
      <w:r>
        <w:rPr>
          <w:rFonts w:ascii="Inter" w:cs="Inter" w:eastAsia="Inter" w:hAnsi="Inter"/>
          <w:b/>
          <w:bCs/>
          <w:color w:val="1B232E"/>
          <w:sz w:val="24"/>
          <w:szCs w:val="24"/>
        </w:rPr>
        <w:t xml:space="preserve">What Buyers Were Dealing With</w:t>
      </w:r>
    </w:p>
    <w:p>
      <w:pPr>
        <w:pStyle w:val="ListParagraph"/>
        <w:numPr>
          <w:ilvl w:val="0"/>
          <w:numId w:val="2"/>
        </w:numPr>
        <w:spacing w:after="140" w:before="0" w:line="320"/>
      </w:pPr>
      <w:r>
        <w:rPr>
          <w:rFonts w:ascii="Inter" w:cs="Inter" w:eastAsia="Inter" w:hAnsi="Inter"/>
          <w:color w:val="1B232E"/>
          <w:sz w:val="21"/>
          <w:szCs w:val="21"/>
        </w:rPr>
        <w:t xml:space="preserve">Bank and broker channels showing only a fraction of available products</w:t>
      </w:r>
    </w:p>
    <w:p>
      <w:pPr>
        <w:pStyle w:val="ListParagraph"/>
        <w:numPr>
          <w:ilvl w:val="0"/>
          <w:numId w:val="2"/>
        </w:numPr>
        <w:spacing w:after="140" w:before="0" w:line="320"/>
      </w:pPr>
      <w:r>
        <w:rPr>
          <w:rFonts w:ascii="Inter" w:cs="Inter" w:eastAsia="Inter" w:hAnsi="Inter"/>
          <w:color w:val="1B232E"/>
          <w:sz w:val="21"/>
          <w:szCs w:val="21"/>
        </w:rPr>
        <w:t xml:space="preserve">Premium variance of 30–50%+ for the same coverage across carriers, invisible to the buyer</w:t>
      </w:r>
    </w:p>
    <w:p>
      <w:pPr>
        <w:pStyle w:val="ListParagraph"/>
        <w:numPr>
          <w:ilvl w:val="0"/>
          <w:numId w:val="2"/>
        </w:numPr>
        <w:spacing w:after="140" w:before="0" w:line="320"/>
      </w:pPr>
      <w:r>
        <w:rPr>
          <w:rFonts w:ascii="Inter" w:cs="Inter" w:eastAsia="Inter" w:hAnsi="Inter"/>
          <w:color w:val="1B232E"/>
          <w:sz w:val="21"/>
          <w:szCs w:val="21"/>
        </w:rPr>
        <w:t xml:space="preserve">Quote forms that weren't standardized — different carriers asked different questions, produced incomparable outputs</w:t>
      </w:r>
    </w:p>
    <w:p>
      <w:pPr>
        <w:pStyle w:val="ListParagraph"/>
        <w:numPr>
          <w:ilvl w:val="0"/>
          <w:numId w:val="2"/>
        </w:numPr>
        <w:spacing w:after="140" w:before="0" w:line="320"/>
      </w:pPr>
      <w:r>
        <w:rPr>
          <w:rFonts w:ascii="Inter" w:cs="Inter" w:eastAsia="Inter" w:hAnsi="Inter"/>
          <w:color w:val="1B232E"/>
          <w:sz w:val="21"/>
          <w:szCs w:val="21"/>
        </w:rPr>
        <w:t xml:space="preserve">Commission-driven advisor recommendations with no way to verify they were actually the best fit</w:t>
      </w:r>
    </w:p>
    <w:p>
      <w:pPr>
        <w:pStyle w:val="ListParagraph"/>
        <w:numPr>
          <w:ilvl w:val="0"/>
          <w:numId w:val="2"/>
        </w:numPr>
        <w:spacing w:after="140" w:before="0" w:line="320"/>
      </w:pPr>
      <w:r>
        <w:rPr>
          <w:rFonts w:ascii="Inter" w:cs="Inter" w:eastAsia="Inter" w:hAnsi="Inter"/>
          <w:color w:val="1B232E"/>
          <w:sz w:val="21"/>
          <w:szCs w:val="21"/>
        </w:rPr>
        <w:t xml:space="preserve">Pressure tactics, follow-up calls, and opaque underwriting decisions</w:t>
      </w:r>
    </w:p>
    <w:p>
      <w:pPr>
        <w:pStyle w:val="ListParagraph"/>
        <w:numPr>
          <w:ilvl w:val="0"/>
          <w:numId w:val="2"/>
        </w:numPr>
        <w:spacing w:after="140" w:before="0" w:line="320"/>
      </w:pPr>
      <w:r>
        <w:rPr>
          <w:rFonts w:ascii="Inter" w:cs="Inter" w:eastAsia="Inter" w:hAnsi="Inter"/>
          <w:color w:val="1B232E"/>
          <w:sz w:val="21"/>
          <w:szCs w:val="21"/>
        </w:rPr>
        <w:t xml:space="preserve">No easy way to factor in riders, term lengths, and health-class variations across carriers</w:t>
      </w:r>
    </w:p>
    <w:p>
      <w:pPr>
        <w:pStyle w:val="Heading3"/>
        <w:spacing w:after="120" w:before="240"/>
      </w:pPr>
      <w:r>
        <w:rPr>
          <w:rFonts w:ascii="Inter" w:cs="Inter" w:eastAsia="Inter" w:hAnsi="Inter"/>
          <w:b/>
          <w:bCs/>
          <w:color w:val="1B232E"/>
          <w:sz w:val="24"/>
          <w:szCs w:val="24"/>
        </w:rPr>
        <w:t xml:space="preserve">What Made This a Hard Engineering Problem</w:t>
      </w:r>
    </w:p>
    <w:p>
      <w:pPr>
        <w:spacing w:after="180" w:before="0" w:line="340"/>
      </w:pPr>
      <w:r>
        <w:rPr>
          <w:rFonts w:ascii="Inter" w:cs="Inter" w:eastAsia="Inter" w:hAnsi="Inter"/>
          <w:color w:val="1B232E"/>
          <w:sz w:val="21"/>
          <w:szCs w:val="21"/>
        </w:rPr>
        <w:t xml:space="preserve">The reason no one had built a genuinely unified comparison engine wasn't lack of demand — it was the underlying data complexity. Life insurance pricing isn't a function of one or two variables. A single carrier might offer five product families, each with ten term-length options, each with multiple rider combinations, each priced across dozens of age bands, each adjusted by health class, smoker status, province, and coverage amount. Multiply that by 20 carriers and the variant space runs into the millions.</w:t>
      </w:r>
    </w:p>
    <w:p>
      <w:pPr>
        <w:spacing w:after="180" w:before="0" w:line="340"/>
      </w:pPr>
      <w:r>
        <w:rPr>
          <w:rFonts w:ascii="Inter" w:cs="Inter" w:eastAsia="Inter" w:hAnsi="Inter"/>
          <w:color w:val="1B232E"/>
          <w:sz w:val="21"/>
          <w:szCs w:val="21"/>
        </w:rPr>
        <w:t xml:space="preserve">Most attempts to build comparison engines failed at the data layer — either by oversimplifying (returning misleading quotes) or by outsourcing the math to each carrier's own quote API and then being unable to reconcile the outputs. We took the harder path: model the full product space relationally, and compute the answer ourselves.</w:t>
      </w:r>
    </w:p>
    <w:p>
      <w:pPr>
        <w:spacing w:after="160" w:before="0"/>
      </w:pPr>
      <w:r>
        <w:t xml:space="preserve"/>
      </w:r>
    </w:p>
    <w:p>
      <w:pPr>
        <w:spacing w:after="160" w:before="360"/>
      </w:pPr>
      <w:r>
        <w:rPr>
          <w:rFonts w:ascii="Manrope" w:cs="Manrope" w:eastAsia="Manrope" w:hAnsi="Manrope"/>
          <w:b/>
          <w:bCs/>
          <w:color w:val="0755E9"/>
          <w:sz w:val="18"/>
          <w:szCs w:val="18"/>
        </w:rPr>
        <w:t xml:space="preserve">WHAT WE BUILT</w:t>
      </w:r>
    </w:p>
    <w:p>
      <w:pPr>
        <w:pStyle w:val="Heading1"/>
        <w:spacing w:after="240" w:before="120"/>
      </w:pPr>
      <w:r>
        <w:rPr>
          <w:rFonts w:ascii="Playfair Display" w:cs="Playfair Display" w:eastAsia="Playfair Display" w:hAnsi="Playfair Display"/>
          <w:b/>
          <w:bCs/>
          <w:color w:val="1B232E"/>
          <w:sz w:val="44"/>
          <w:szCs w:val="44"/>
        </w:rPr>
        <w:t xml:space="preserve">What We Built</w:t>
      </w:r>
    </w:p>
    <w:p>
      <w:pPr>
        <w:pStyle w:val="Heading2"/>
        <w:spacing w:after="160" w:before="320"/>
      </w:pPr>
      <w:r>
        <w:rPr>
          <w:rFonts w:ascii="Playfair Display" w:cs="Playfair Display" w:eastAsia="Playfair Display" w:hAnsi="Playfair Display"/>
          <w:b/>
          <w:bCs/>
          <w:color w:val="1B232E"/>
          <w:sz w:val="32"/>
          <w:szCs w:val="32"/>
        </w:rPr>
        <w:t xml:space="preserve">PolicyScanner: A Licensed Brokerage Platform with a Unified Quote Engine</w:t>
      </w:r>
    </w:p>
    <w:p>
      <w:pPr>
        <w:spacing w:after="180" w:before="0" w:line="340"/>
      </w:pPr>
      <w:r>
        <w:rPr>
          <w:rFonts w:ascii="Inter" w:cs="Inter" w:eastAsia="Inter" w:hAnsi="Inter"/>
          <w:color w:val="1B232E"/>
          <w:sz w:val="21"/>
          <w:szCs w:val="21"/>
        </w:rPr>
        <w:t xml:space="preserve">PolicyScanner is built around three integrated layers: a buyer-facing quote wizard that collects minimum viable information in under two minutes, a multi-carrier rate engine that resolves the applicant profile against every relevant product variant, and a licensed advisor workflow that handles follow-up, application, and binding — fully compliant with Canadian brokerage regulation.</w:t>
      </w:r>
    </w:p>
    <w:p>
      <w:pPr>
        <w:pStyle w:val="Heading3"/>
        <w:spacing w:after="120" w:before="240"/>
      </w:pPr>
      <w:r>
        <w:rPr>
          <w:rFonts w:ascii="Inter" w:cs="Inter" w:eastAsia="Inter" w:hAnsi="Inter"/>
          <w:b/>
          <w:bCs/>
          <w:color w:val="1B232E"/>
          <w:sz w:val="24"/>
          <w:szCs w:val="24"/>
        </w:rPr>
        <w:t xml:space="preserve">Layer 1 — The Buyer Experience</w:t>
      </w:r>
    </w:p>
    <w:p>
      <w:pPr>
        <w:spacing w:after="180" w:before="0" w:line="340"/>
      </w:pPr>
      <w:r>
        <w:rPr>
          <w:rFonts w:ascii="Inter" w:cs="Inter" w:eastAsia="Inter" w:hAnsi="Inter"/>
          <w:color w:val="1B232E"/>
          <w:sz w:val="21"/>
          <w:szCs w:val="21"/>
        </w:rPr>
        <w:t xml:space="preserve">The front door to the platform is deliberately minimal. Five questions, two minutes, no account required to see quotes. Everything is engineered to remove friction between a buyer's intent and their first real answer.</w:t>
      </w:r>
    </w:p>
    <w:p>
      <w:pPr>
        <w:pStyle w:val="ListParagraph"/>
        <w:numPr>
          <w:ilvl w:val="0"/>
          <w:numId w:val="2"/>
        </w:numPr>
        <w:spacing w:after="140" w:before="0" w:line="320"/>
      </w:pPr>
      <w:r>
        <w:rPr>
          <w:rFonts w:ascii="Inter" w:cs="Inter" w:eastAsia="Inter" w:hAnsi="Inter"/>
          <w:color w:val="1B232E"/>
          <w:sz w:val="21"/>
          <w:szCs w:val="21"/>
        </w:rPr>
        <w:t xml:space="preserve">5-question quote wizard — coverage amount, term preference, age, smoker status, health class proxies</w:t>
      </w:r>
    </w:p>
    <w:p>
      <w:pPr>
        <w:pStyle w:val="ListParagraph"/>
        <w:numPr>
          <w:ilvl w:val="0"/>
          <w:numId w:val="2"/>
        </w:numPr>
        <w:spacing w:after="140" w:before="0" w:line="320"/>
      </w:pPr>
      <w:r>
        <w:rPr>
          <w:rFonts w:ascii="Inter" w:cs="Inter" w:eastAsia="Inter" w:hAnsi="Inter"/>
          <w:color w:val="1B232E"/>
          <w:sz w:val="21"/>
          <w:szCs w:val="21"/>
        </w:rPr>
        <w:t xml:space="preserve">Instant side-by-side results across 20+ Canadian insurers, ranked by price and fit</w:t>
      </w:r>
    </w:p>
    <w:p>
      <w:pPr>
        <w:pStyle w:val="ListParagraph"/>
        <w:numPr>
          <w:ilvl w:val="0"/>
          <w:numId w:val="2"/>
        </w:numPr>
        <w:spacing w:after="140" w:before="0" w:line="320"/>
      </w:pPr>
      <w:r>
        <w:rPr>
          <w:rFonts w:ascii="Inter" w:cs="Inter" w:eastAsia="Inter" w:hAnsi="Inter"/>
          <w:color w:val="1B232E"/>
          <w:sz w:val="21"/>
          <w:szCs w:val="21"/>
        </w:rPr>
        <w:t xml:space="preserve">Plan detail views showing riders, exclusions, and carrier reputation transparently</w:t>
      </w:r>
    </w:p>
    <w:p>
      <w:pPr>
        <w:pStyle w:val="ListParagraph"/>
        <w:numPr>
          <w:ilvl w:val="0"/>
          <w:numId w:val="2"/>
        </w:numPr>
        <w:spacing w:after="140" w:before="0" w:line="320"/>
      </w:pPr>
      <w:r>
        <w:rPr>
          <w:rFonts w:ascii="Inter" w:cs="Inter" w:eastAsia="Inter" w:hAnsi="Inter"/>
          <w:color w:val="1B232E"/>
          <w:sz w:val="21"/>
          <w:szCs w:val="21"/>
        </w:rPr>
        <w:t xml:space="preserve">Optional advisor consultation — licensed professionals available without sales pressure</w:t>
      </w:r>
    </w:p>
    <w:p>
      <w:pPr>
        <w:pStyle w:val="ListParagraph"/>
        <w:numPr>
          <w:ilvl w:val="0"/>
          <w:numId w:val="2"/>
        </w:numPr>
        <w:spacing w:after="140" w:before="0" w:line="320"/>
      </w:pPr>
      <w:r>
        <w:rPr>
          <w:rFonts w:ascii="Inter" w:cs="Inter" w:eastAsia="Inter" w:hAnsi="Inter"/>
          <w:color w:val="1B232E"/>
          <w:sz w:val="21"/>
          <w:szCs w:val="21"/>
        </w:rPr>
        <w:t xml:space="preserve">Secure, confidential data handling from first keystroke to policy binding</w:t>
      </w:r>
    </w:p>
    <w:p>
      <w:pPr>
        <w:pStyle w:val="Heading3"/>
        <w:spacing w:after="120" w:before="240"/>
      </w:pPr>
      <w:r>
        <w:rPr>
          <w:rFonts w:ascii="Inter" w:cs="Inter" w:eastAsia="Inter" w:hAnsi="Inter"/>
          <w:b/>
          <w:bCs/>
          <w:color w:val="1B232E"/>
          <w:sz w:val="24"/>
          <w:szCs w:val="24"/>
        </w:rPr>
        <w:t xml:space="preserve">Layer 2 — The Multi-Carrier Rate Engine</w:t>
      </w:r>
    </w:p>
    <w:p>
      <w:pPr>
        <w:spacing w:after="180" w:before="0" w:line="340"/>
      </w:pPr>
      <w:r>
        <w:rPr>
          <w:rFonts w:ascii="Inter" w:cs="Inter" w:eastAsia="Inter" w:hAnsi="Inter"/>
          <w:color w:val="1B232E"/>
          <w:sz w:val="21"/>
          <w:szCs w:val="21"/>
        </w:rPr>
        <w:t xml:space="preserve">This is where the real engineering lives. The rate engine is a purpose-built MySQL-backed calculation layer that resolves any applicant profile against every relevant product across every participating carrier — and returns a normalized, apples-to-apples comparison.</w:t>
      </w:r>
    </w:p>
    <w:p>
      <w:pPr>
        <w:pStyle w:val="ListParagraph"/>
        <w:numPr>
          <w:ilvl w:val="0"/>
          <w:numId w:val="2"/>
        </w:numPr>
        <w:spacing w:after="140" w:before="0" w:line="320"/>
      </w:pPr>
      <w:r>
        <w:rPr>
          <w:rFonts w:ascii="Inter" w:cs="Inter" w:eastAsia="Inter" w:hAnsi="Inter"/>
          <w:color w:val="1B232E"/>
          <w:sz w:val="21"/>
          <w:szCs w:val="21"/>
        </w:rPr>
        <w:t xml:space="preserve">Normalized product schema — every carrier's plan structure mapped to a single relational model</w:t>
      </w:r>
    </w:p>
    <w:p>
      <w:pPr>
        <w:pStyle w:val="ListParagraph"/>
        <w:numPr>
          <w:ilvl w:val="0"/>
          <w:numId w:val="2"/>
        </w:numPr>
        <w:spacing w:after="140" w:before="0" w:line="320"/>
      </w:pPr>
      <w:r>
        <w:rPr>
          <w:rFonts w:ascii="Inter" w:cs="Inter" w:eastAsia="Inter" w:hAnsi="Inter"/>
          <w:color w:val="1B232E"/>
          <w:sz w:val="21"/>
          <w:szCs w:val="21"/>
        </w:rPr>
        <w:t xml:space="preserve">Variant graph spanning product families × term lengths × rider bundles × age bands × health classes × provinces</w:t>
      </w:r>
    </w:p>
    <w:p>
      <w:pPr>
        <w:pStyle w:val="ListParagraph"/>
        <w:numPr>
          <w:ilvl w:val="0"/>
          <w:numId w:val="2"/>
        </w:numPr>
        <w:spacing w:after="140" w:before="0" w:line="320"/>
      </w:pPr>
      <w:r>
        <w:rPr>
          <w:rFonts w:ascii="Inter" w:cs="Inter" w:eastAsia="Inter" w:hAnsi="Inter"/>
          <w:color w:val="1B232E"/>
          <w:sz w:val="21"/>
          <w:szCs w:val="21"/>
        </w:rPr>
        <w:t xml:space="preserve">Rate-table ingestion pipeline with versioning — carrier pricing updates flow in and are applied without breaking historical quotes</w:t>
      </w:r>
    </w:p>
    <w:p>
      <w:pPr>
        <w:pStyle w:val="ListParagraph"/>
        <w:numPr>
          <w:ilvl w:val="0"/>
          <w:numId w:val="2"/>
        </w:numPr>
        <w:spacing w:after="140" w:before="0" w:line="320"/>
      </w:pPr>
      <w:r>
        <w:rPr>
          <w:rFonts w:ascii="Inter" w:cs="Inter" w:eastAsia="Inter" w:hAnsi="Inter"/>
          <w:color w:val="1B232E"/>
          <w:sz w:val="21"/>
          <w:szCs w:val="21"/>
        </w:rPr>
        <w:t xml:space="preserve">Deterministic calculation engine — same input always yields the same output, critical for regulatory audit</w:t>
      </w:r>
    </w:p>
    <w:p>
      <w:pPr>
        <w:pStyle w:val="ListParagraph"/>
        <w:numPr>
          <w:ilvl w:val="0"/>
          <w:numId w:val="2"/>
        </w:numPr>
        <w:spacing w:after="140" w:before="0" w:line="320"/>
      </w:pPr>
      <w:r>
        <w:rPr>
          <w:rFonts w:ascii="Inter" w:cs="Inter" w:eastAsia="Inter" w:hAnsi="Inter"/>
          <w:color w:val="1B232E"/>
          <w:sz w:val="21"/>
          <w:szCs w:val="21"/>
        </w:rPr>
        <w:t xml:space="preserve">Result reconciliation layer that handles carrier-specific edge cases (rounding rules, minimum premiums, rider stacking constraints)</w:t>
      </w:r>
    </w:p>
    <w:p>
      <w:pPr>
        <w:pStyle w:val="Heading3"/>
        <w:spacing w:after="120" w:before="240"/>
      </w:pPr>
      <w:r>
        <w:rPr>
          <w:rFonts w:ascii="Inter" w:cs="Inter" w:eastAsia="Inter" w:hAnsi="Inter"/>
          <w:b/>
          <w:bCs/>
          <w:color w:val="1B232E"/>
          <w:sz w:val="24"/>
          <w:szCs w:val="24"/>
        </w:rPr>
        <w:t xml:space="preserve">Layer 3 — The Advisor &amp; Compliance Workflow</w:t>
      </w:r>
    </w:p>
    <w:p>
      <w:pPr>
        <w:spacing w:after="180" w:before="0" w:line="340"/>
      </w:pPr>
      <w:r>
        <w:rPr>
          <w:rFonts w:ascii="Inter" w:cs="Inter" w:eastAsia="Inter" w:hAnsi="Inter"/>
          <w:color w:val="1B232E"/>
          <w:sz w:val="21"/>
          <w:szCs w:val="21"/>
        </w:rPr>
        <w:t xml:space="preserve">PolicyScanner operates as a licensed Canadian brokerage, not a lead-generation aggregator. That means the platform doesn't just produce quotes — it handles the full regulatory workflow of actually binding a policy with a licensed advisor in the loop.</w:t>
      </w:r>
    </w:p>
    <w:p>
      <w:pPr>
        <w:pStyle w:val="ListParagraph"/>
        <w:numPr>
          <w:ilvl w:val="0"/>
          <w:numId w:val="2"/>
        </w:numPr>
        <w:spacing w:after="140" w:before="0" w:line="320"/>
      </w:pPr>
      <w:r>
        <w:rPr>
          <w:rFonts w:ascii="Inter" w:cs="Inter" w:eastAsia="Inter" w:hAnsi="Inter"/>
          <w:color w:val="1B232E"/>
          <w:sz w:val="21"/>
          <w:szCs w:val="21"/>
        </w:rPr>
        <w:t xml:space="preserve">Lead routing engine matching applicants to licensed advisors by province and product expertise</w:t>
      </w:r>
    </w:p>
    <w:p>
      <w:pPr>
        <w:pStyle w:val="ListParagraph"/>
        <w:numPr>
          <w:ilvl w:val="0"/>
          <w:numId w:val="2"/>
        </w:numPr>
        <w:spacing w:after="140" w:before="0" w:line="320"/>
      </w:pPr>
      <w:r>
        <w:rPr>
          <w:rFonts w:ascii="Inter" w:cs="Inter" w:eastAsia="Inter" w:hAnsi="Inter"/>
          <w:color w:val="1B232E"/>
          <w:sz w:val="21"/>
          <w:szCs w:val="21"/>
        </w:rPr>
        <w:t xml:space="preserve">Advisor CRM with full applicant context and quote history pre-loaded</w:t>
      </w:r>
    </w:p>
    <w:p>
      <w:pPr>
        <w:pStyle w:val="ListParagraph"/>
        <w:numPr>
          <w:ilvl w:val="0"/>
          <w:numId w:val="2"/>
        </w:numPr>
        <w:spacing w:after="140" w:before="0" w:line="320"/>
      </w:pPr>
      <w:r>
        <w:rPr>
          <w:rFonts w:ascii="Inter" w:cs="Inter" w:eastAsia="Inter" w:hAnsi="Inter"/>
          <w:color w:val="1B232E"/>
          <w:sz w:val="21"/>
          <w:szCs w:val="21"/>
        </w:rPr>
        <w:t xml:space="preserve">FSRA-compliant disclosures, consent capture, and audit trails on every interaction</w:t>
      </w:r>
    </w:p>
    <w:p>
      <w:pPr>
        <w:pStyle w:val="ListParagraph"/>
        <w:numPr>
          <w:ilvl w:val="0"/>
          <w:numId w:val="2"/>
        </w:numPr>
        <w:spacing w:after="140" w:before="0" w:line="320"/>
      </w:pPr>
      <w:r>
        <w:rPr>
          <w:rFonts w:ascii="Inter" w:cs="Inter" w:eastAsia="Inter" w:hAnsi="Inter"/>
          <w:color w:val="1B232E"/>
          <w:sz w:val="21"/>
          <w:szCs w:val="21"/>
        </w:rPr>
        <w:t xml:space="preserve">Application-to-binding workflow integrated with carrier underwriting systems</w:t>
      </w:r>
    </w:p>
    <w:p>
      <w:pPr>
        <w:pStyle w:val="ListParagraph"/>
        <w:numPr>
          <w:ilvl w:val="0"/>
          <w:numId w:val="2"/>
        </w:numPr>
        <w:spacing w:after="140" w:before="0" w:line="320"/>
      </w:pPr>
      <w:r>
        <w:rPr>
          <w:rFonts w:ascii="Inter" w:cs="Inter" w:eastAsia="Inter" w:hAnsi="Inter"/>
          <w:color w:val="1B232E"/>
          <w:sz w:val="21"/>
          <w:szCs w:val="21"/>
        </w:rPr>
        <w:t xml:space="preserve">Post-sale servicing handoff for policy changes, beneficiary updates, and claims</w:t>
      </w:r>
    </w:p>
    <w:p>
      <w:pPr>
        <w:spacing w:after="160" w:before="0"/>
      </w:pPr>
      <w:r>
        <w:t xml:space="preserve"/>
      </w:r>
    </w:p>
    <w:p>
      <w:pPr>
        <w:spacing w:after="160" w:before="360"/>
      </w:pPr>
      <w:r>
        <w:rPr>
          <w:rFonts w:ascii="Manrope" w:cs="Manrope" w:eastAsia="Manrope" w:hAnsi="Manrope"/>
          <w:b/>
          <w:bCs/>
          <w:color w:val="0755E9"/>
          <w:sz w:val="18"/>
          <w:szCs w:val="18"/>
        </w:rPr>
        <w:t xml:space="preserve">THE DIFFERENTIATION</w:t>
      </w:r>
    </w:p>
    <w:p>
      <w:pPr>
        <w:pStyle w:val="Heading1"/>
        <w:spacing w:after="240" w:before="120"/>
      </w:pPr>
      <w:r>
        <w:rPr>
          <w:rFonts w:ascii="Playfair Display" w:cs="Playfair Display" w:eastAsia="Playfair Display" w:hAnsi="Playfair Display"/>
          <w:b/>
          <w:bCs/>
          <w:color w:val="1B232E"/>
          <w:sz w:val="44"/>
          <w:szCs w:val="44"/>
        </w:rPr>
        <w:t xml:space="preserve">How PolicyScanner Beats the Alternatives</w:t>
      </w:r>
    </w:p>
    <w:p>
      <w:pPr>
        <w:spacing w:after="180" w:before="0" w:line="340"/>
      </w:pPr>
      <w:r>
        <w:rPr>
          <w:rFonts w:ascii="Inter" w:cs="Inter" w:eastAsia="Inter" w:hAnsi="Inter"/>
          <w:color w:val="1B232E"/>
          <w:sz w:val="21"/>
          <w:szCs w:val="21"/>
        </w:rPr>
        <w:t xml:space="preserve">The life insurance buying decision has historically been a choice between channels that all have their own conflicts of interest. PolicyScanner's position is structural: as an independent licensed brokerage with a 20+ carrier engine, it has no reason to steer the buyer anywhere except toward the policy that actually fits.</w:t>
      </w:r>
    </w:p>
    <w:p>
      <w:pPr>
        <w:spacing w:after="10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4"/>
              <w:left w:val="single" w:color="CCCCCC" w:sz="4"/>
              <w:bottom w:val="single" w:color="CCCCCC" w:sz="4"/>
              <w:right w:val="single" w:color="CCCCCC" w:sz="4"/>
            </w:tcBorders>
            <w:shd w:fill="F8F8F8" w:color="auto" w:val="clear"/>
            <w:tcMar>
              <w:top w:type="dxa" w:w="200"/>
              <w:left w:type="dxa" w:w="240"/>
              <w:bottom w:type="dxa" w:w="200"/>
              <w:right w:type="dxa" w:w="240"/>
            </w:tcMar>
          </w:tcPr>
          <w:p>
            <w:pPr>
              <w:spacing w:after="140" w:before="0"/>
            </w:pPr>
            <w:r>
              <w:rPr>
                <w:rFonts w:ascii="Inter" w:cs="Inter" w:eastAsia="Inter" w:hAnsi="Inter"/>
                <w:b/>
                <w:bCs/>
                <w:color w:val="1B232E"/>
                <w:sz w:val="22"/>
                <w:szCs w:val="22"/>
              </w:rPr>
              <w:t xml:space="preserve">Banks</w:t>
            </w:r>
          </w:p>
          <w:p>
            <w:pPr>
              <w:spacing w:after="10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Limited carrier options</w:t>
            </w:r>
          </w:p>
          <w:p>
            <w:pPr>
              <w:spacing w:after="10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Higher premiums</w:t>
            </w:r>
          </w:p>
          <w:p>
            <w:pPr>
              <w:spacing w:after="10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One-size-fits-all products</w:t>
            </w:r>
          </w:p>
          <w:p>
            <w:pPr>
              <w:spacing w:after="10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Tied to parent institution</w:t>
            </w:r>
          </w:p>
        </w:tc>
        <w:tc>
          <w:tcPr>
            <w:tcW w:type="dxa" w:w="3120"/>
            <w:tcBorders>
              <w:top w:val="single" w:color="CCCCCC" w:sz="4"/>
              <w:left w:val="single" w:color="CCCCCC" w:sz="4"/>
              <w:bottom w:val="single" w:color="CCCCCC" w:sz="4"/>
              <w:right w:val="single" w:color="CCCCCC" w:sz="4"/>
            </w:tcBorders>
            <w:shd w:fill="E8F0FF" w:color="auto" w:val="clear"/>
            <w:tcMar>
              <w:top w:type="dxa" w:w="200"/>
              <w:left w:type="dxa" w:w="240"/>
              <w:bottom w:type="dxa" w:w="200"/>
              <w:right w:type="dxa" w:w="240"/>
            </w:tcMar>
          </w:tcPr>
          <w:p>
            <w:pPr>
              <w:spacing w:after="140" w:before="0"/>
            </w:pPr>
            <w:r>
              <w:rPr>
                <w:rFonts w:ascii="Inter" w:cs="Inter" w:eastAsia="Inter" w:hAnsi="Inter"/>
                <w:b/>
                <w:bCs/>
                <w:color w:val="0755E9"/>
                <w:sz w:val="22"/>
                <w:szCs w:val="22"/>
              </w:rPr>
              <w:t xml:space="preserve">PolicyScanner</w:t>
            </w:r>
          </w:p>
          <w:p>
            <w:pPr>
              <w:spacing w:after="100" w:before="0"/>
              <w:ind w:left="200" w:hanging="200"/>
            </w:pPr>
            <w:r>
              <w:rPr>
                <w:rFonts w:ascii="Inter" w:cs="Inter" w:eastAsia="Inter" w:hAnsi="Inter"/>
                <w:b/>
                <w:bCs/>
                <w:color w:val="0755E9"/>
                <w:sz w:val="20"/>
                <w:szCs w:val="20"/>
              </w:rPr>
              <w:t xml:space="preserve">✓  </w:t>
            </w:r>
            <w:r>
              <w:rPr>
                <w:rFonts w:ascii="Inter" w:cs="Inter" w:eastAsia="Inter" w:hAnsi="Inter"/>
                <w:b/>
                <w:bCs/>
                <w:color w:val="1B232E"/>
                <w:sz w:val="20"/>
                <w:szCs w:val="20"/>
              </w:rPr>
              <w:t xml:space="preserve">Compare 20+ insurers instantly</w:t>
            </w:r>
          </w:p>
          <w:p>
            <w:pPr>
              <w:spacing w:after="100" w:before="0"/>
              <w:ind w:left="200" w:hanging="200"/>
            </w:pPr>
            <w:r>
              <w:rPr>
                <w:rFonts w:ascii="Inter" w:cs="Inter" w:eastAsia="Inter" w:hAnsi="Inter"/>
                <w:b/>
                <w:bCs/>
                <w:color w:val="0755E9"/>
                <w:sz w:val="20"/>
                <w:szCs w:val="20"/>
              </w:rPr>
              <w:t xml:space="preserve">✓  </w:t>
            </w:r>
            <w:r>
              <w:rPr>
                <w:rFonts w:ascii="Inter" w:cs="Inter" w:eastAsia="Inter" w:hAnsi="Inter"/>
                <w:b/>
                <w:bCs/>
                <w:color w:val="1B232E"/>
                <w:sz w:val="20"/>
                <w:szCs w:val="20"/>
              </w:rPr>
              <w:t xml:space="preserve">Unbiased recommendations</w:t>
            </w:r>
          </w:p>
          <w:p>
            <w:pPr>
              <w:spacing w:after="100" w:before="0"/>
              <w:ind w:left="200" w:hanging="200"/>
            </w:pPr>
            <w:r>
              <w:rPr>
                <w:rFonts w:ascii="Inter" w:cs="Inter" w:eastAsia="Inter" w:hAnsi="Inter"/>
                <w:b/>
                <w:bCs/>
                <w:color w:val="0755E9"/>
                <w:sz w:val="20"/>
                <w:szCs w:val="20"/>
              </w:rPr>
              <w:t xml:space="preserve">✓  </w:t>
            </w:r>
            <w:r>
              <w:rPr>
                <w:rFonts w:ascii="Inter" w:cs="Inter" w:eastAsia="Inter" w:hAnsi="Inter"/>
                <w:b/>
                <w:bCs/>
                <w:color w:val="1B232E"/>
                <w:sz w:val="20"/>
                <w:szCs w:val="20"/>
              </w:rPr>
              <w:t xml:space="preserve">Licensed advisors on-demand</w:t>
            </w:r>
          </w:p>
          <w:p>
            <w:pPr>
              <w:spacing w:after="100" w:before="0"/>
              <w:ind w:left="200" w:hanging="200"/>
            </w:pPr>
            <w:r>
              <w:rPr>
                <w:rFonts w:ascii="Inter" w:cs="Inter" w:eastAsia="Inter" w:hAnsi="Inter"/>
                <w:b/>
                <w:bCs/>
                <w:color w:val="0755E9"/>
                <w:sz w:val="20"/>
                <w:szCs w:val="20"/>
              </w:rPr>
              <w:t xml:space="preserve">✓  </w:t>
            </w:r>
            <w:r>
              <w:rPr>
                <w:rFonts w:ascii="Inter" w:cs="Inter" w:eastAsia="Inter" w:hAnsi="Inter"/>
                <w:b/>
                <w:bCs/>
                <w:color w:val="1B232E"/>
                <w:sz w:val="20"/>
                <w:szCs w:val="20"/>
              </w:rPr>
              <w:t xml:space="preserve">Transparent, side-by-side pricing</w:t>
            </w:r>
          </w:p>
        </w:tc>
        <w:tc>
          <w:tcPr>
            <w:tcW w:type="dxa" w:w="3120"/>
            <w:tcBorders>
              <w:top w:val="single" w:color="CCCCCC" w:sz="4"/>
              <w:left w:val="single" w:color="CCCCCC" w:sz="4"/>
              <w:bottom w:val="single" w:color="CCCCCC" w:sz="4"/>
              <w:right w:val="single" w:color="CCCCCC" w:sz="4"/>
            </w:tcBorders>
            <w:shd w:fill="F8F8F8" w:color="auto" w:val="clear"/>
            <w:tcMar>
              <w:top w:type="dxa" w:w="200"/>
              <w:left w:type="dxa" w:w="240"/>
              <w:bottom w:type="dxa" w:w="200"/>
              <w:right w:type="dxa" w:w="240"/>
            </w:tcMar>
          </w:tcPr>
          <w:p>
            <w:pPr>
              <w:spacing w:after="140" w:before="0"/>
            </w:pPr>
            <w:r>
              <w:rPr>
                <w:rFonts w:ascii="Inter" w:cs="Inter" w:eastAsia="Inter" w:hAnsi="Inter"/>
                <w:b/>
                <w:bCs/>
                <w:color w:val="1B232E"/>
                <w:sz w:val="22"/>
                <w:szCs w:val="22"/>
              </w:rPr>
              <w:t xml:space="preserve">Traditional Brokers</w:t>
            </w:r>
          </w:p>
          <w:p>
            <w:pPr>
              <w:spacing w:after="10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Push specific companies</w:t>
            </w:r>
          </w:p>
          <w:p>
            <w:pPr>
              <w:spacing w:after="10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Slower, manual process</w:t>
            </w:r>
          </w:p>
          <w:p>
            <w:pPr>
              <w:spacing w:after="10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Limited transparency</w:t>
            </w:r>
          </w:p>
          <w:p>
            <w:pPr>
              <w:spacing w:after="10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Commission-driven bias</w:t>
            </w:r>
          </w:p>
        </w:tc>
      </w:tr>
    </w:tbl>
    <w:p>
      <w:pPr>
        <w:spacing w:after="240" w:before="0"/>
      </w:pPr>
      <w:r>
        <w:t xml:space="preserve"/>
      </w:r>
    </w:p>
    <w:p>
      <w:pPr>
        <w:spacing w:after="160" w:before="360"/>
      </w:pPr>
      <w:r>
        <w:rPr>
          <w:rFonts w:ascii="Manrope" w:cs="Manrope" w:eastAsia="Manrope" w:hAnsi="Manrope"/>
          <w:b/>
          <w:bCs/>
          <w:color w:val="0755E9"/>
          <w:sz w:val="18"/>
          <w:szCs w:val="18"/>
        </w:rPr>
        <w:t xml:space="preserve">HOW WE BUILT IT</w:t>
      </w:r>
    </w:p>
    <w:p>
      <w:pPr>
        <w:pStyle w:val="Heading1"/>
        <w:spacing w:after="240" w:before="120"/>
      </w:pPr>
      <w:r>
        <w:rPr>
          <w:rFonts w:ascii="Playfair Display" w:cs="Playfair Display" w:eastAsia="Playfair Display" w:hAnsi="Playfair Display"/>
          <w:b/>
          <w:bCs/>
          <w:color w:val="1B232E"/>
          <w:sz w:val="44"/>
          <w:szCs w:val="44"/>
        </w:rPr>
        <w:t xml:space="preserve">How We Built It</w:t>
      </w:r>
    </w:p>
    <w:p>
      <w:pPr>
        <w:pStyle w:val="Heading2"/>
        <w:spacing w:after="160" w:before="320"/>
      </w:pPr>
      <w:r>
        <w:rPr>
          <w:rFonts w:ascii="Playfair Display" w:cs="Playfair Display" w:eastAsia="Playfair Display" w:hAnsi="Playfair Display"/>
          <w:b/>
          <w:bCs/>
          <w:color w:val="1B232E"/>
          <w:sz w:val="32"/>
          <w:szCs w:val="32"/>
        </w:rPr>
        <w:t xml:space="preserve">The Data Model Is the Product</w:t>
      </w:r>
    </w:p>
    <w:p>
      <w:pPr>
        <w:pStyle w:val="Heading3"/>
        <w:spacing w:after="120" w:before="240"/>
      </w:pPr>
      <w:r>
        <w:rPr>
          <w:rFonts w:ascii="Inter" w:cs="Inter" w:eastAsia="Inter" w:hAnsi="Inter"/>
          <w:b/>
          <w:bCs/>
          <w:color w:val="1B232E"/>
          <w:sz w:val="24"/>
          <w:szCs w:val="24"/>
        </w:rPr>
        <w:t xml:space="preserve">The MySQL Schema Problem</w:t>
      </w:r>
    </w:p>
    <w:p>
      <w:pPr>
        <w:spacing w:after="180" w:before="0" w:line="340"/>
      </w:pPr>
      <w:r>
        <w:rPr>
          <w:rFonts w:ascii="Inter" w:cs="Inter" w:eastAsia="Inter" w:hAnsi="Inter"/>
          <w:color w:val="1B232E"/>
          <w:sz w:val="21"/>
          <w:szCs w:val="21"/>
        </w:rPr>
        <w:t xml:space="preserve">The defining architectural decision on this project was how to model the insurance product space. Canadian life insurance is a deeply relational domain: a Term 20 plan from Carrier A with Critical Illness rider for a 35-year-old non-smoker in Ontario is not a catalog item — it's the resolved output of a query across at least six interlocking tables. We designed the schema around that reality rather than trying to flatten it.</w:t>
      </w:r>
    </w:p>
    <w:p>
      <w:pPr>
        <w:pStyle w:val="ListParagraph"/>
        <w:numPr>
          <w:ilvl w:val="0"/>
          <w:numId w:val="2"/>
        </w:numPr>
        <w:spacing w:after="140" w:before="0" w:line="320"/>
      </w:pPr>
      <w:r>
        <w:rPr>
          <w:rFonts w:ascii="Inter" w:cs="Inter" w:eastAsia="Inter" w:hAnsi="Inter"/>
          <w:color w:val="1B232E"/>
          <w:sz w:val="21"/>
          <w:szCs w:val="21"/>
        </w:rPr>
        <w:t xml:space="preserve">Core tables for carriers, product families, plans, and plan variants</w:t>
      </w:r>
    </w:p>
    <w:p>
      <w:pPr>
        <w:pStyle w:val="ListParagraph"/>
        <w:numPr>
          <w:ilvl w:val="0"/>
          <w:numId w:val="2"/>
        </w:numPr>
        <w:spacing w:after="140" w:before="0" w:line="320"/>
      </w:pPr>
      <w:r>
        <w:rPr>
          <w:rFonts w:ascii="Inter" w:cs="Inter" w:eastAsia="Inter" w:hAnsi="Inter"/>
          <w:color w:val="1B232E"/>
          <w:sz w:val="21"/>
          <w:szCs w:val="21"/>
        </w:rPr>
        <w:t xml:space="preserve">Rider tables with compatibility matrices defining which riders stack on which plans</w:t>
      </w:r>
    </w:p>
    <w:p>
      <w:pPr>
        <w:pStyle w:val="ListParagraph"/>
        <w:numPr>
          <w:ilvl w:val="0"/>
          <w:numId w:val="2"/>
        </w:numPr>
        <w:spacing w:after="140" w:before="0" w:line="320"/>
      </w:pPr>
      <w:r>
        <w:rPr>
          <w:rFonts w:ascii="Inter" w:cs="Inter" w:eastAsia="Inter" w:hAnsi="Inter"/>
          <w:color w:val="1B232E"/>
          <w:sz w:val="21"/>
          <w:szCs w:val="21"/>
        </w:rPr>
        <w:t xml:space="preserve">Rate tables indexed by age band, gender, smoker status, health class, and coverage amount</w:t>
      </w:r>
    </w:p>
    <w:p>
      <w:pPr>
        <w:pStyle w:val="ListParagraph"/>
        <w:numPr>
          <w:ilvl w:val="0"/>
          <w:numId w:val="2"/>
        </w:numPr>
        <w:spacing w:after="140" w:before="0" w:line="320"/>
      </w:pPr>
      <w:r>
        <w:rPr>
          <w:rFonts w:ascii="Inter" w:cs="Inter" w:eastAsia="Inter" w:hAnsi="Inter"/>
          <w:color w:val="1B232E"/>
          <w:sz w:val="21"/>
          <w:szCs w:val="21"/>
        </w:rPr>
        <w:t xml:space="preserve">Jurisdictional tables for province-specific regulatory adjustments</w:t>
      </w:r>
    </w:p>
    <w:p>
      <w:pPr>
        <w:pStyle w:val="ListParagraph"/>
        <w:numPr>
          <w:ilvl w:val="0"/>
          <w:numId w:val="2"/>
        </w:numPr>
        <w:spacing w:after="140" w:before="0" w:line="320"/>
      </w:pPr>
      <w:r>
        <w:rPr>
          <w:rFonts w:ascii="Inter" w:cs="Inter" w:eastAsia="Inter" w:hAnsi="Inter"/>
          <w:color w:val="1B232E"/>
          <w:sz w:val="21"/>
          <w:szCs w:val="21"/>
        </w:rPr>
        <w:t xml:space="preserve">Version-aware design so pricing changes can be introduced without invalidating in-flight quotes</w:t>
      </w:r>
    </w:p>
    <w:p>
      <w:pPr>
        <w:pStyle w:val="Heading3"/>
        <w:spacing w:after="120" w:before="240"/>
      </w:pPr>
      <w:r>
        <w:rPr>
          <w:rFonts w:ascii="Inter" w:cs="Inter" w:eastAsia="Inter" w:hAnsi="Inter"/>
          <w:b/>
          <w:bCs/>
          <w:color w:val="1B232E"/>
          <w:sz w:val="24"/>
          <w:szCs w:val="24"/>
        </w:rPr>
        <w:t xml:space="preserve">The Rate Calculation Engine</w:t>
      </w:r>
    </w:p>
    <w:p>
      <w:pPr>
        <w:spacing w:after="180" w:before="0" w:line="340"/>
      </w:pPr>
      <w:r>
        <w:rPr>
          <w:rFonts w:ascii="Inter" w:cs="Inter" w:eastAsia="Inter" w:hAnsi="Inter"/>
          <w:color w:val="1B232E"/>
          <w:sz w:val="21"/>
          <w:szCs w:val="21"/>
        </w:rPr>
        <w:t xml:space="preserve">Once the schema was right, the engine that resolves an applicant against it had to be fast enough to feel instant. A two-minute quote experience doesn't work if the calculation itself takes ten seconds. We built the resolver as a set of parallel, deterministic lookups with aggressive caching at the variant level.</w:t>
      </w:r>
    </w:p>
    <w:p>
      <w:pPr>
        <w:pStyle w:val="ListParagraph"/>
        <w:numPr>
          <w:ilvl w:val="0"/>
          <w:numId w:val="2"/>
        </w:numPr>
        <w:spacing w:after="140" w:before="0" w:line="320"/>
      </w:pPr>
      <w:r>
        <w:rPr>
          <w:rFonts w:ascii="Inter" w:cs="Inter" w:eastAsia="Inter" w:hAnsi="Inter"/>
          <w:color w:val="1B232E"/>
          <w:sz w:val="21"/>
          <w:szCs w:val="21"/>
        </w:rPr>
        <w:t xml:space="preserve">Parallel carrier resolution — all 20+ carrier calculations run concurrently, not sequentially</w:t>
      </w:r>
    </w:p>
    <w:p>
      <w:pPr>
        <w:pStyle w:val="ListParagraph"/>
        <w:numPr>
          <w:ilvl w:val="0"/>
          <w:numId w:val="2"/>
        </w:numPr>
        <w:spacing w:after="140" w:before="0" w:line="320"/>
      </w:pPr>
      <w:r>
        <w:rPr>
          <w:rFonts w:ascii="Inter" w:cs="Inter" w:eastAsia="Inter" w:hAnsi="Inter"/>
          <w:color w:val="1B232E"/>
          <w:sz w:val="21"/>
          <w:szCs w:val="21"/>
        </w:rPr>
        <w:t xml:space="preserve">Variant-level result caching — identical applicant profiles reuse computed results</w:t>
      </w:r>
    </w:p>
    <w:p>
      <w:pPr>
        <w:pStyle w:val="ListParagraph"/>
        <w:numPr>
          <w:ilvl w:val="0"/>
          <w:numId w:val="2"/>
        </w:numPr>
        <w:spacing w:after="140" w:before="0" w:line="320"/>
      </w:pPr>
      <w:r>
        <w:rPr>
          <w:rFonts w:ascii="Inter" w:cs="Inter" w:eastAsia="Inter" w:hAnsi="Inter"/>
          <w:color w:val="1B232E"/>
          <w:sz w:val="21"/>
          <w:szCs w:val="21"/>
        </w:rPr>
        <w:t xml:space="preserve">Deterministic output — same inputs always produce identical outputs, a regulatory requirement</w:t>
      </w:r>
    </w:p>
    <w:p>
      <w:pPr>
        <w:pStyle w:val="ListParagraph"/>
        <w:numPr>
          <w:ilvl w:val="0"/>
          <w:numId w:val="2"/>
        </w:numPr>
        <w:spacing w:after="140" w:before="0" w:line="320"/>
      </w:pPr>
      <w:r>
        <w:rPr>
          <w:rFonts w:ascii="Inter" w:cs="Inter" w:eastAsia="Inter" w:hAnsi="Inter"/>
          <w:color w:val="1B232E"/>
          <w:sz w:val="21"/>
          <w:szCs w:val="21"/>
        </w:rPr>
        <w:t xml:space="preserve">Edge-case handling codified per carrier — minimum premiums, rounding rules, rider interaction constraints</w:t>
      </w:r>
    </w:p>
    <w:p>
      <w:pPr>
        <w:pStyle w:val="ListParagraph"/>
        <w:numPr>
          <w:ilvl w:val="0"/>
          <w:numId w:val="2"/>
        </w:numPr>
        <w:spacing w:after="140" w:before="0" w:line="320"/>
      </w:pPr>
      <w:r>
        <w:rPr>
          <w:rFonts w:ascii="Inter" w:cs="Inter" w:eastAsia="Inter" w:hAnsi="Inter"/>
          <w:color w:val="1B232E"/>
          <w:sz w:val="21"/>
          <w:szCs w:val="21"/>
        </w:rPr>
        <w:t xml:space="preserve">Sub-second end-to-end quote generation even when traversing millions of variant combinations</w:t>
      </w:r>
    </w:p>
    <w:p>
      <w:pPr>
        <w:pStyle w:val="Heading3"/>
        <w:spacing w:after="120" w:before="240"/>
      </w:pPr>
      <w:r>
        <w:rPr>
          <w:rFonts w:ascii="Inter" w:cs="Inter" w:eastAsia="Inter" w:hAnsi="Inter"/>
          <w:b/>
          <w:bCs/>
          <w:color w:val="1B232E"/>
          <w:sz w:val="24"/>
          <w:szCs w:val="24"/>
        </w:rPr>
        <w:t xml:space="preserve">The Compliance Layer</w:t>
      </w:r>
    </w:p>
    <w:p>
      <w:pPr>
        <w:spacing w:after="180" w:before="0" w:line="340"/>
      </w:pPr>
      <w:r>
        <w:rPr>
          <w:rFonts w:ascii="Inter" w:cs="Inter" w:eastAsia="Inter" w:hAnsi="Inter"/>
          <w:color w:val="1B232E"/>
          <w:sz w:val="21"/>
          <w:szCs w:val="21"/>
        </w:rPr>
        <w:t xml:space="preserve">Operating as a licensed brokerage is not a paperwork exercise — it's a set of engineering constraints baked into the platform. Every interaction that affects a quote, a recommendation, or an application is logged with enough context to be reproduced during a regulatory audit years later.</w:t>
      </w:r>
    </w:p>
    <w:p>
      <w:pPr>
        <w:pStyle w:val="ListParagraph"/>
        <w:numPr>
          <w:ilvl w:val="0"/>
          <w:numId w:val="2"/>
        </w:numPr>
        <w:spacing w:after="140" w:before="0" w:line="320"/>
      </w:pPr>
      <w:r>
        <w:rPr>
          <w:rFonts w:ascii="Inter" w:cs="Inter" w:eastAsia="Inter" w:hAnsi="Inter"/>
          <w:color w:val="1B232E"/>
          <w:sz w:val="21"/>
          <w:szCs w:val="21"/>
        </w:rPr>
        <w:t xml:space="preserve">Immutable audit trail on every quote generated, who saw it, and what inputs produced it</w:t>
      </w:r>
    </w:p>
    <w:p>
      <w:pPr>
        <w:pStyle w:val="ListParagraph"/>
        <w:numPr>
          <w:ilvl w:val="0"/>
          <w:numId w:val="2"/>
        </w:numPr>
        <w:spacing w:after="140" w:before="0" w:line="320"/>
      </w:pPr>
      <w:r>
        <w:rPr>
          <w:rFonts w:ascii="Inter" w:cs="Inter" w:eastAsia="Inter" w:hAnsi="Inter"/>
          <w:color w:val="1B232E"/>
          <w:sz w:val="21"/>
          <w:szCs w:val="21"/>
        </w:rPr>
        <w:t xml:space="preserve">Consent capture tied to specific disclosures at each workflow step</w:t>
      </w:r>
    </w:p>
    <w:p>
      <w:pPr>
        <w:pStyle w:val="ListParagraph"/>
        <w:numPr>
          <w:ilvl w:val="0"/>
          <w:numId w:val="2"/>
        </w:numPr>
        <w:spacing w:after="140" w:before="0" w:line="320"/>
      </w:pPr>
      <w:r>
        <w:rPr>
          <w:rFonts w:ascii="Inter" w:cs="Inter" w:eastAsia="Inter" w:hAnsi="Inter"/>
          <w:color w:val="1B232E"/>
          <w:sz w:val="21"/>
          <w:szCs w:val="21"/>
        </w:rPr>
        <w:t xml:space="preserve">FSRA-aligned advisor activity logging and supervision hooks</w:t>
      </w:r>
    </w:p>
    <w:p>
      <w:pPr>
        <w:pStyle w:val="ListParagraph"/>
        <w:numPr>
          <w:ilvl w:val="0"/>
          <w:numId w:val="2"/>
        </w:numPr>
        <w:spacing w:after="140" w:before="0" w:line="320"/>
      </w:pPr>
      <w:r>
        <w:rPr>
          <w:rFonts w:ascii="Inter" w:cs="Inter" w:eastAsia="Inter" w:hAnsi="Inter"/>
          <w:color w:val="1B232E"/>
          <w:sz w:val="21"/>
          <w:szCs w:val="21"/>
        </w:rPr>
        <w:t xml:space="preserve">Data residency and confidentiality controls appropriate for Canadian regulated financial data</w:t>
      </w:r>
    </w:p>
    <w:p>
      <w:pPr>
        <w:pStyle w:val="Heading3"/>
        <w:spacing w:after="120" w:before="240"/>
      </w:pPr>
      <w:r>
        <w:rPr>
          <w:rFonts w:ascii="Inter" w:cs="Inter" w:eastAsia="Inter" w:hAnsi="Inter"/>
          <w:b/>
          <w:bCs/>
          <w:color w:val="1B232E"/>
          <w:sz w:val="24"/>
          <w:szCs w:val="24"/>
        </w:rPr>
        <w:t xml:space="preserve">Technology Stack</w:t>
      </w:r>
    </w:p>
    <w:p>
      <w:pPr>
        <w:spacing w:after="10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4"/>
              <w:left w:val="single" w:color="CCCCCC" w:sz="4"/>
              <w:bottom w:val="single" w:color="CCCCCC" w:sz="4"/>
              <w:right w:val="single" w:color="CCCCCC" w:sz="4"/>
            </w:tcBorders>
            <w:shd w:fill="F8F8F8" w:color="auto" w:val="clear"/>
            <w:tcMar>
              <w:top w:type="dxa" w:w="200"/>
              <w:left w:type="dxa" w:w="240"/>
              <w:bottom w:type="dxa" w:w="200"/>
              <w:right w:type="dxa" w:w="240"/>
            </w:tcMar>
          </w:tcPr>
          <w:p>
            <w:pPr>
              <w:spacing w:after="140" w:before="0"/>
            </w:pPr>
            <w:r>
              <w:rPr>
                <w:rFonts w:ascii="Inter" w:cs="Inter" w:eastAsia="Inter" w:hAnsi="Inter"/>
                <w:b/>
                <w:bCs/>
                <w:color w:val="0755E9"/>
                <w:sz w:val="22"/>
                <w:szCs w:val="22"/>
              </w:rPr>
              <w:t xml:space="preserve">Backend &amp; Data</w:t>
            </w:r>
          </w:p>
          <w:p>
            <w:pPr>
              <w:spacing w:after="8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Node.js — rate calculation &amp; API layer</w:t>
            </w:r>
          </w:p>
          <w:p>
            <w:pPr>
              <w:spacing w:after="8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MySQL — relational insurance product schema</w:t>
            </w:r>
          </w:p>
          <w:p>
            <w:pPr>
              <w:spacing w:after="8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Normalized plan / rider / variant model</w:t>
            </w:r>
          </w:p>
          <w:p>
            <w:pPr>
              <w:spacing w:after="8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Rate-table ingestion &amp; versioning pipeline</w:t>
            </w:r>
          </w:p>
          <w:p>
            <w:pPr>
              <w:spacing w:after="8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Advisor CRM &amp; lead routing logic</w:t>
            </w:r>
          </w:p>
        </w:tc>
        <w:tc>
          <w:tcPr>
            <w:tcW w:type="dxa" w:w="4680"/>
            <w:tcBorders>
              <w:top w:val="single" w:color="CCCCCC" w:sz="4"/>
              <w:left w:val="single" w:color="CCCCCC" w:sz="4"/>
              <w:bottom w:val="single" w:color="CCCCCC" w:sz="4"/>
              <w:right w:val="single" w:color="CCCCCC" w:sz="4"/>
            </w:tcBorders>
            <w:shd w:fill="F8F8F8" w:color="auto" w:val="clear"/>
            <w:tcMar>
              <w:top w:type="dxa" w:w="200"/>
              <w:left w:type="dxa" w:w="240"/>
              <w:bottom w:type="dxa" w:w="200"/>
              <w:right w:type="dxa" w:w="240"/>
            </w:tcMar>
          </w:tcPr>
          <w:p>
            <w:pPr>
              <w:spacing w:after="140" w:before="0"/>
            </w:pPr>
            <w:r>
              <w:rPr>
                <w:rFonts w:ascii="Inter" w:cs="Inter" w:eastAsia="Inter" w:hAnsi="Inter"/>
                <w:b/>
                <w:bCs/>
                <w:color w:val="0755E9"/>
                <w:sz w:val="22"/>
                <w:szCs w:val="22"/>
              </w:rPr>
              <w:t xml:space="preserve">Frontend &amp; Compliance</w:t>
            </w:r>
          </w:p>
          <w:p>
            <w:pPr>
              <w:spacing w:after="8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Next.js — server-side rendered quote flow</w:t>
            </w:r>
          </w:p>
          <w:p>
            <w:pPr>
              <w:spacing w:after="8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React — 5-question quote wizard UI</w:t>
            </w:r>
          </w:p>
          <w:p>
            <w:pPr>
              <w:spacing w:after="8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Tailwind CSS — design system tokens</w:t>
            </w:r>
          </w:p>
          <w:p>
            <w:pPr>
              <w:spacing w:after="8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FSRA-compliant disclosure &amp; audit trail</w:t>
            </w:r>
          </w:p>
          <w:p>
            <w:pPr>
              <w:spacing w:after="8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Secure, confidential applicant data model</w:t>
            </w:r>
          </w:p>
        </w:tc>
      </w:tr>
    </w:tbl>
    <w:p>
      <w:pPr>
        <w:spacing w:after="200" w:before="0"/>
      </w:pPr>
      <w:r>
        <w:t xml:space="preserve"/>
      </w:r>
    </w:p>
    <w:p>
      <w:pPr>
        <w:spacing w:after="0" w:before="0" w:line="320"/>
      </w:pPr>
      <w:r>
        <w:rPr>
          <w:rFonts w:ascii="Inter" w:cs="Inter" w:eastAsia="Inter" w:hAnsi="Inter"/>
          <w:i/>
          <w:iCs/>
          <w:color w:val="5F5F5F"/>
          <w:sz w:val="21"/>
          <w:szCs w:val="21"/>
        </w:rPr>
        <w:t xml:space="preserve">The two hardest engineering problems: modeling the combinatorial space of Canadian life insurance products into a schema that could actually be queried in real time, and building a calculation engine deterministic enough to satisfy regulatory audit requirements while still feeling instant to the buyer.</w:t>
      </w:r>
    </w:p>
    <w:p>
      <w:pPr>
        <w:spacing w:after="200" w:before="0"/>
      </w:pPr>
      <w:r>
        <w:t xml:space="preserve"/>
      </w:r>
    </w:p>
    <w:p>
      <w:pPr>
        <w:spacing w:after="160" w:before="360"/>
      </w:pPr>
      <w:r>
        <w:rPr>
          <w:rFonts w:ascii="Manrope" w:cs="Manrope" w:eastAsia="Manrope" w:hAnsi="Manrope"/>
          <w:b/>
          <w:bCs/>
          <w:color w:val="0755E9"/>
          <w:sz w:val="18"/>
          <w:szCs w:val="18"/>
        </w:rPr>
        <w:t xml:space="preserve">THE RESULTS</w:t>
      </w:r>
    </w:p>
    <w:p>
      <w:pPr>
        <w:pStyle w:val="Heading1"/>
        <w:spacing w:after="240" w:before="120"/>
      </w:pPr>
      <w:r>
        <w:rPr>
          <w:rFonts w:ascii="Playfair Display" w:cs="Playfair Display" w:eastAsia="Playfair Display" w:hAnsi="Playfair Display"/>
          <w:b/>
          <w:bCs/>
          <w:color w:val="1B232E"/>
          <w:sz w:val="44"/>
          <w:szCs w:val="44"/>
        </w:rPr>
        <w:t xml:space="preserve">The Results</w:t>
      </w:r>
    </w:p>
    <w:p>
      <w:pPr>
        <w:pStyle w:val="Heading2"/>
        <w:spacing w:after="160" w:before="320"/>
      </w:pPr>
      <w:r>
        <w:rPr>
          <w:rFonts w:ascii="Playfair Display" w:cs="Playfair Display" w:eastAsia="Playfair Display" w:hAnsi="Playfair Display"/>
          <w:b/>
          <w:bCs/>
          <w:color w:val="1B232E"/>
          <w:sz w:val="32"/>
          <w:szCs w:val="32"/>
        </w:rPr>
        <w:t xml:space="preserve">What Canadians Using PolicyScanner Get</w:t>
      </w:r>
    </w:p>
    <w:p>
      <w:pPr>
        <w:spacing w:after="10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4"/>
              <w:left w:val="single" w:color="CCCCCC" w:sz="4"/>
              <w:bottom w:val="single" w:color="CCCCCC" w:sz="4"/>
              <w:right w:val="single" w:color="CCCCCC" w:sz="4"/>
            </w:tcBorders>
            <w:shd w:fill="F8F8F8" w:color="auto" w:val="clear"/>
            <w:tcMar>
              <w:top w:type="dxa" w:w="200"/>
              <w:left w:type="dxa" w:w="160"/>
              <w:bottom w:type="dxa" w:w="200"/>
              <w:right w:type="dxa" w:w="160"/>
            </w:tcMar>
          </w:tcPr>
          <w:p>
            <w:pPr>
              <w:spacing w:after="60" w:before="0"/>
              <w:jc w:val="center"/>
            </w:pPr>
            <w:r>
              <w:rPr>
                <w:rFonts w:ascii="Manrope" w:cs="Manrope" w:eastAsia="Manrope" w:hAnsi="Manrope"/>
                <w:b/>
                <w:bCs/>
                <w:color w:val="0755E9"/>
                <w:sz w:val="40"/>
                <w:szCs w:val="40"/>
              </w:rPr>
              <w:t xml:space="preserve">20+</w:t>
            </w:r>
          </w:p>
          <w:p>
            <w:pPr>
              <w:spacing w:after="40" w:before="0"/>
              <w:jc w:val="center"/>
            </w:pPr>
            <w:r>
              <w:rPr>
                <w:rFonts w:ascii="Inter" w:cs="Inter" w:eastAsia="Inter" w:hAnsi="Inter"/>
                <w:b/>
                <w:bCs/>
                <w:color w:val="1B232E"/>
                <w:sz w:val="18"/>
                <w:szCs w:val="18"/>
              </w:rPr>
              <w:t xml:space="preserve">Insurers Compared</w:t>
            </w:r>
          </w:p>
          <w:p>
            <w:pPr>
              <w:spacing w:after="0" w:before="0"/>
              <w:jc w:val="center"/>
            </w:pPr>
            <w:r>
              <w:rPr>
                <w:rFonts w:ascii="Inter" w:cs="Inter" w:eastAsia="Inter" w:hAnsi="Inter"/>
                <w:i/>
                <w:iCs/>
                <w:color w:val="5F5F5F"/>
                <w:sz w:val="16"/>
                <w:szCs w:val="16"/>
              </w:rPr>
              <w:t xml:space="preserve">One Unified Engine</w:t>
            </w:r>
          </w:p>
        </w:tc>
        <w:tc>
          <w:tcPr>
            <w:tcW w:type="dxa" w:w="2340"/>
            <w:tcBorders>
              <w:top w:val="single" w:color="CCCCCC" w:sz="4"/>
              <w:left w:val="single" w:color="CCCCCC" w:sz="4"/>
              <w:bottom w:val="single" w:color="CCCCCC" w:sz="4"/>
              <w:right w:val="single" w:color="CCCCCC" w:sz="4"/>
            </w:tcBorders>
            <w:shd w:fill="F8F8F8" w:color="auto" w:val="clear"/>
            <w:tcMar>
              <w:top w:type="dxa" w:w="200"/>
              <w:left w:type="dxa" w:w="160"/>
              <w:bottom w:type="dxa" w:w="200"/>
              <w:right w:type="dxa" w:w="160"/>
            </w:tcMar>
          </w:tcPr>
          <w:p>
            <w:pPr>
              <w:spacing w:after="60" w:before="0"/>
              <w:jc w:val="center"/>
            </w:pPr>
            <w:r>
              <w:rPr>
                <w:rFonts w:ascii="Manrope" w:cs="Manrope" w:eastAsia="Manrope" w:hAnsi="Manrope"/>
                <w:b/>
                <w:bCs/>
                <w:color w:val="0755E9"/>
                <w:sz w:val="40"/>
                <w:szCs w:val="40"/>
              </w:rPr>
              <w:t xml:space="preserve">2 min</w:t>
            </w:r>
          </w:p>
          <w:p>
            <w:pPr>
              <w:spacing w:after="40" w:before="0"/>
              <w:jc w:val="center"/>
            </w:pPr>
            <w:r>
              <w:rPr>
                <w:rFonts w:ascii="Inter" w:cs="Inter" w:eastAsia="Inter" w:hAnsi="Inter"/>
                <w:b/>
                <w:bCs/>
                <w:color w:val="1B232E"/>
                <w:sz w:val="18"/>
                <w:szCs w:val="18"/>
              </w:rPr>
              <w:t xml:space="preserve">Quote-to-Result</w:t>
            </w:r>
          </w:p>
          <w:p>
            <w:pPr>
              <w:spacing w:after="0" w:before="0"/>
              <w:jc w:val="center"/>
            </w:pPr>
            <w:r>
              <w:rPr>
                <w:rFonts w:ascii="Inter" w:cs="Inter" w:eastAsia="Inter" w:hAnsi="Inter"/>
                <w:i/>
                <w:iCs/>
                <w:color w:val="5F5F5F"/>
                <w:sz w:val="16"/>
                <w:szCs w:val="16"/>
              </w:rPr>
              <w:t xml:space="preserve">Side-by-Side Output</w:t>
            </w:r>
          </w:p>
        </w:tc>
        <w:tc>
          <w:tcPr>
            <w:tcW w:type="dxa" w:w="2340"/>
            <w:tcBorders>
              <w:top w:val="single" w:color="CCCCCC" w:sz="4"/>
              <w:left w:val="single" w:color="CCCCCC" w:sz="4"/>
              <w:bottom w:val="single" w:color="CCCCCC" w:sz="4"/>
              <w:right w:val="single" w:color="CCCCCC" w:sz="4"/>
            </w:tcBorders>
            <w:shd w:fill="F8F8F8" w:color="auto" w:val="clear"/>
            <w:tcMar>
              <w:top w:type="dxa" w:w="200"/>
              <w:left w:type="dxa" w:w="160"/>
              <w:bottom w:type="dxa" w:w="200"/>
              <w:right w:type="dxa" w:w="160"/>
            </w:tcMar>
          </w:tcPr>
          <w:p>
            <w:pPr>
              <w:spacing w:after="60" w:before="0"/>
              <w:jc w:val="center"/>
            </w:pPr>
            <w:r>
              <w:rPr>
                <w:rFonts w:ascii="Manrope" w:cs="Manrope" w:eastAsia="Manrope" w:hAnsi="Manrope"/>
                <w:b/>
                <w:bCs/>
                <w:color w:val="0755E9"/>
                <w:sz w:val="40"/>
                <w:szCs w:val="40"/>
              </w:rPr>
              <w:t xml:space="preserve">1,000+</w:t>
            </w:r>
          </w:p>
          <w:p>
            <w:pPr>
              <w:spacing w:after="40" w:before="0"/>
              <w:jc w:val="center"/>
            </w:pPr>
            <w:r>
              <w:rPr>
                <w:rFonts w:ascii="Inter" w:cs="Inter" w:eastAsia="Inter" w:hAnsi="Inter"/>
                <w:b/>
                <w:bCs/>
                <w:color w:val="1B232E"/>
                <w:sz w:val="18"/>
                <w:szCs w:val="18"/>
              </w:rPr>
              <w:t xml:space="preserve">Canadians Helped</w:t>
            </w:r>
          </w:p>
          <w:p>
            <w:pPr>
              <w:spacing w:after="0" w:before="0"/>
              <w:jc w:val="center"/>
            </w:pPr>
            <w:r>
              <w:rPr>
                <w:rFonts w:ascii="Inter" w:cs="Inter" w:eastAsia="Inter" w:hAnsi="Inter"/>
                <w:i/>
                <w:iCs/>
                <w:color w:val="5F5F5F"/>
                <w:sz w:val="16"/>
                <w:szCs w:val="16"/>
              </w:rPr>
              <w:t xml:space="preserve">And Growing</w:t>
            </w:r>
          </w:p>
        </w:tc>
        <w:tc>
          <w:tcPr>
            <w:tcW w:type="dxa" w:w="2340"/>
            <w:tcBorders>
              <w:top w:val="single" w:color="CCCCCC" w:sz="4"/>
              <w:left w:val="single" w:color="CCCCCC" w:sz="4"/>
              <w:bottom w:val="single" w:color="CCCCCC" w:sz="4"/>
              <w:right w:val="single" w:color="CCCCCC" w:sz="4"/>
            </w:tcBorders>
            <w:shd w:fill="F8F8F8" w:color="auto" w:val="clear"/>
            <w:tcMar>
              <w:top w:type="dxa" w:w="200"/>
              <w:left w:type="dxa" w:w="160"/>
              <w:bottom w:type="dxa" w:w="200"/>
              <w:right w:type="dxa" w:w="160"/>
            </w:tcMar>
          </w:tcPr>
          <w:p>
            <w:pPr>
              <w:spacing w:after="60" w:before="0"/>
              <w:jc w:val="center"/>
            </w:pPr>
            <w:r>
              <w:rPr>
                <w:rFonts w:ascii="Manrope" w:cs="Manrope" w:eastAsia="Manrope" w:hAnsi="Manrope"/>
                <w:b/>
                <w:bCs/>
                <w:color w:val="0755E9"/>
                <w:sz w:val="40"/>
                <w:szCs w:val="40"/>
              </w:rPr>
              <w:t xml:space="preserve">4.9/5</w:t>
            </w:r>
          </w:p>
          <w:p>
            <w:pPr>
              <w:spacing w:after="40" w:before="0"/>
              <w:jc w:val="center"/>
            </w:pPr>
            <w:r>
              <w:rPr>
                <w:rFonts w:ascii="Inter" w:cs="Inter" w:eastAsia="Inter" w:hAnsi="Inter"/>
                <w:b/>
                <w:bCs/>
                <w:color w:val="1B232E"/>
                <w:sz w:val="18"/>
                <w:szCs w:val="18"/>
              </w:rPr>
              <w:t xml:space="preserve">Client Rating</w:t>
            </w:r>
          </w:p>
          <w:p>
            <w:pPr>
              <w:spacing w:after="0" w:before="0"/>
              <w:jc w:val="center"/>
            </w:pPr>
            <w:r>
              <w:rPr>
                <w:rFonts w:ascii="Inter" w:cs="Inter" w:eastAsia="Inter" w:hAnsi="Inter"/>
                <w:i/>
                <w:iCs/>
                <w:color w:val="5F5F5F"/>
                <w:sz w:val="16"/>
                <w:szCs w:val="16"/>
              </w:rPr>
              <w:t xml:space="preserve">Google Reviews</w:t>
            </w:r>
          </w:p>
        </w:tc>
      </w:tr>
    </w:tbl>
    <w:p>
      <w:pPr>
        <w:spacing w:after="240" w:before="0"/>
      </w:pPr>
      <w:r>
        <w:t xml:space="preserve"/>
      </w:r>
    </w:p>
    <w:p>
      <w:pPr>
        <w:pStyle w:val="ListParagraph"/>
        <w:numPr>
          <w:ilvl w:val="0"/>
          <w:numId w:val="2"/>
        </w:numPr>
        <w:spacing w:after="140" w:before="0" w:line="320"/>
      </w:pPr>
      <w:r>
        <w:rPr>
          <w:rFonts w:ascii="Inter" w:cs="Inter" w:eastAsia="Inter" w:hAnsi="Inter"/>
          <w:b/>
          <w:bCs/>
          <w:color w:val="1B232E"/>
          <w:sz w:val="21"/>
          <w:szCs w:val="21"/>
        </w:rPr>
        <w:t xml:space="preserve">Choice: </w:t>
      </w:r>
      <w:r>
        <w:rPr>
          <w:rFonts w:ascii="Inter" w:cs="Inter" w:eastAsia="Inter" w:hAnsi="Inter"/>
          <w:color w:val="1B232E"/>
          <w:sz w:val="21"/>
          <w:szCs w:val="21"/>
        </w:rPr>
        <w:t xml:space="preserve">20+ insurers in one view</w:t>
      </w:r>
    </w:p>
    <w:p>
      <w:pPr>
        <w:spacing w:after="180" w:before="0" w:line="340"/>
      </w:pPr>
      <w:r>
        <w:rPr>
          <w:rFonts w:ascii="Inter" w:cs="Inter" w:eastAsia="Inter" w:hAnsi="Inter"/>
          <w:color w:val="1B232E"/>
          <w:sz w:val="21"/>
          <w:szCs w:val="21"/>
        </w:rPr>
        <w:t xml:space="preserve">Every major Canadian life insurance carrier compared side-by-side in a single session — the first time many Canadians have ever seen the actual price variance for their coverage profile.</w:t>
      </w:r>
    </w:p>
    <w:p>
      <w:pPr>
        <w:pStyle w:val="ListParagraph"/>
        <w:numPr>
          <w:ilvl w:val="0"/>
          <w:numId w:val="2"/>
        </w:numPr>
        <w:spacing w:after="140" w:before="0" w:line="320"/>
      </w:pPr>
      <w:r>
        <w:rPr>
          <w:rFonts w:ascii="Inter" w:cs="Inter" w:eastAsia="Inter" w:hAnsi="Inter"/>
          <w:b/>
          <w:bCs/>
          <w:color w:val="1B232E"/>
          <w:sz w:val="21"/>
          <w:szCs w:val="21"/>
        </w:rPr>
        <w:t xml:space="preserve">Speed: </w:t>
      </w:r>
      <w:r>
        <w:rPr>
          <w:rFonts w:ascii="Inter" w:cs="Inter" w:eastAsia="Inter" w:hAnsi="Inter"/>
          <w:color w:val="1B232E"/>
          <w:sz w:val="21"/>
          <w:szCs w:val="21"/>
        </w:rPr>
        <w:t xml:space="preserve">Quote-to-decision in two minutes</w:t>
      </w:r>
    </w:p>
    <w:p>
      <w:pPr>
        <w:spacing w:after="180" w:before="0" w:line="340"/>
      </w:pPr>
      <w:r>
        <w:rPr>
          <w:rFonts w:ascii="Inter" w:cs="Inter" w:eastAsia="Inter" w:hAnsi="Inter"/>
          <w:color w:val="1B232E"/>
          <w:sz w:val="21"/>
          <w:szCs w:val="21"/>
        </w:rPr>
        <w:t xml:space="preserve">The entire top-of-funnel experience — from first question to ranked carrier results — runs in under two minutes. Follow-through conversion is materially higher than traditional channels because the friction that kills deals is gone.</w:t>
      </w:r>
    </w:p>
    <w:p>
      <w:pPr>
        <w:pStyle w:val="ListParagraph"/>
        <w:numPr>
          <w:ilvl w:val="0"/>
          <w:numId w:val="2"/>
        </w:numPr>
        <w:spacing w:after="140" w:before="0" w:line="320"/>
      </w:pPr>
      <w:r>
        <w:rPr>
          <w:rFonts w:ascii="Inter" w:cs="Inter" w:eastAsia="Inter" w:hAnsi="Inter"/>
          <w:b/>
          <w:bCs/>
          <w:color w:val="1B232E"/>
          <w:sz w:val="21"/>
          <w:szCs w:val="21"/>
        </w:rPr>
        <w:t xml:space="preserve">Trust: </w:t>
      </w:r>
      <w:r>
        <w:rPr>
          <w:rFonts w:ascii="Inter" w:cs="Inter" w:eastAsia="Inter" w:hAnsi="Inter"/>
          <w:color w:val="1B232E"/>
          <w:sz w:val="21"/>
          <w:szCs w:val="21"/>
        </w:rPr>
        <w:t xml:space="preserve">Licensed, unbiased, confidential</w:t>
      </w:r>
    </w:p>
    <w:p>
      <w:pPr>
        <w:spacing w:after="180" w:before="0" w:line="340"/>
      </w:pPr>
      <w:r>
        <w:rPr>
          <w:rFonts w:ascii="Inter" w:cs="Inter" w:eastAsia="Inter" w:hAnsi="Inter"/>
          <w:color w:val="1B232E"/>
          <w:sz w:val="21"/>
          <w:szCs w:val="21"/>
        </w:rPr>
        <w:t xml:space="preserve">PolicyScanner is a regulated Canadian brokerage, not a lead aggregator. Advisor recommendations are carrier-agnostic, applicant data is handled under financial-services confidentiality standards, and every step carries a full audit trail.</w:t>
      </w:r>
    </w:p>
    <w:p>
      <w:pPr>
        <w:pStyle w:val="ListParagraph"/>
        <w:numPr>
          <w:ilvl w:val="0"/>
          <w:numId w:val="2"/>
        </w:numPr>
        <w:spacing w:after="140" w:before="0" w:line="320"/>
      </w:pPr>
      <w:r>
        <w:rPr>
          <w:rFonts w:ascii="Inter" w:cs="Inter" w:eastAsia="Inter" w:hAnsi="Inter"/>
          <w:b/>
          <w:bCs/>
          <w:color w:val="1B232E"/>
          <w:sz w:val="21"/>
          <w:szCs w:val="21"/>
        </w:rPr>
        <w:t xml:space="preserve">Coverage accessibility: </w:t>
      </w:r>
      <w:r>
        <w:rPr>
          <w:rFonts w:ascii="Inter" w:cs="Inter" w:eastAsia="Inter" w:hAnsi="Inter"/>
          <w:color w:val="1B232E"/>
          <w:sz w:val="21"/>
          <w:szCs w:val="21"/>
        </w:rPr>
        <w:t xml:space="preserve">Policies starting from $18/month</w:t>
      </w:r>
    </w:p>
    <w:p>
      <w:pPr>
        <w:spacing w:after="180" w:before="0" w:line="340"/>
      </w:pPr>
      <w:r>
        <w:rPr>
          <w:rFonts w:ascii="Inter" w:cs="Inter" w:eastAsia="Inter" w:hAnsi="Inter"/>
          <w:color w:val="1B232E"/>
          <w:sz w:val="21"/>
          <w:szCs w:val="21"/>
        </w:rPr>
        <w:t xml:space="preserve">The comparison model surfaces entry-level policies that are genuinely affordable but were often invisible in traditional channels — where advisor economics favored selling larger policies.</w:t>
      </w:r>
    </w:p>
    <w:p>
      <w:pPr>
        <w:spacing w:after="24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E8F0FF" w:color="auto" w:val="clear"/>
            <w:tcMar>
              <w:top w:type="dxa" w:w="240"/>
              <w:left w:type="dxa" w:w="320"/>
              <w:bottom w:type="dxa" w:w="240"/>
              <w:right w:type="dxa" w:w="320"/>
            </w:tcMar>
          </w:tcPr>
          <w:p>
            <w:pPr>
              <w:spacing w:after="80" w:before="0"/>
            </w:pPr>
            <w:r>
              <w:rPr>
                <w:rFonts w:ascii="Manrope" w:cs="Manrope" w:eastAsia="Manrope" w:hAnsi="Manrope"/>
                <w:b/>
                <w:bCs/>
                <w:color w:val="0755E9"/>
                <w:sz w:val="18"/>
                <w:szCs w:val="18"/>
              </w:rPr>
              <w:t xml:space="preserve">WHAT COMES NEXT</w:t>
            </w:r>
          </w:p>
          <w:p>
            <w:pPr>
              <w:spacing w:after="0" w:before="0"/>
            </w:pPr>
            <w:r>
              <w:rPr>
                <w:rFonts w:ascii="Playfair Display" w:cs="Playfair Display" w:eastAsia="Playfair Display" w:hAnsi="Playfair Display"/>
                <w:b/>
                <w:bCs/>
                <w:color w:val="1B232E"/>
                <w:sz w:val="32"/>
                <w:szCs w:val="32"/>
              </w:rPr>
              <w:t xml:space="preserve">Agentic Readiness: The Next Layer</w:t>
            </w:r>
          </w:p>
        </w:tc>
      </w:tr>
    </w:tbl>
    <w:p>
      <w:pPr>
        <w:spacing w:after="160" w:before="0"/>
      </w:pPr>
      <w:r>
        <w:t xml:space="preserve"/>
      </w:r>
    </w:p>
    <w:p>
      <w:pPr>
        <w:spacing w:after="180" w:before="0" w:line="340"/>
      </w:pPr>
      <w:r>
        <w:rPr>
          <w:rFonts w:ascii="Inter" w:cs="Inter" w:eastAsia="Inter" w:hAnsi="Inter"/>
          <w:color w:val="1B232E"/>
          <w:sz w:val="21"/>
          <w:szCs w:val="21"/>
        </w:rPr>
        <w:t xml:space="preserve">PolicyScanner was built on an architecture designed to support the next phase: fully autonomous insurance advisory powered by AI agents. The normalized product schema, deterministic rate engine, and compliance-aware workflow layer all make this possible without rearchitecting from scratch.</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8F8F8" w:color="auto" w:val="clear"/>
            <w:tcMar>
              <w:top w:type="dxa" w:w="240"/>
              <w:left w:type="dxa" w:w="320"/>
              <w:bottom w:type="dxa" w:w="240"/>
              <w:right w:type="dxa" w:w="320"/>
            </w:tcMar>
          </w:tcPr>
          <w:p>
            <w:pPr>
              <w:spacing w:after="100" w:before="0"/>
            </w:pPr>
            <w:r>
              <w:rPr>
                <w:rFonts w:ascii="Inter" w:cs="Inter" w:eastAsia="Inter" w:hAnsi="Inter"/>
                <w:b/>
                <w:bCs/>
                <w:color w:val="1B232E"/>
                <w:sz w:val="24"/>
                <w:szCs w:val="24"/>
              </w:rPr>
              <w:t xml:space="preserve">Autonomous Policy Recommendation</w:t>
            </w:r>
          </w:p>
          <w:p>
            <w:pPr>
              <w:spacing w:after="100" w:before="0" w:line="320"/>
            </w:pPr>
            <w:r>
              <w:rPr>
                <w:rFonts w:ascii="Inter" w:cs="Inter" w:eastAsia="Inter" w:hAnsi="Inter"/>
                <w:color w:val="1B232E"/>
                <w:sz w:val="20"/>
                <w:szCs w:val="20"/>
              </w:rPr>
              <w:t xml:space="preserve">Ingests applicant financial context, family situation, and coverage goals to generate fit-weighted recommendations beyond raw price</w:t>
            </w:r>
          </w:p>
          <w:p>
            <w:pPr>
              <w:spacing w:after="100" w:before="0" w:line="320"/>
            </w:pPr>
            <w:r>
              <w:rPr>
                <w:rFonts w:ascii="Inter" w:cs="Inter" w:eastAsia="Inter" w:hAnsi="Inter"/>
                <w:color w:val="1B232E"/>
                <w:sz w:val="20"/>
                <w:szCs w:val="20"/>
              </w:rPr>
              <w:t xml:space="preserve">Explains carrier tradeoffs in plain language — term length logic, rider implications, convertibility options</w:t>
            </w:r>
          </w:p>
          <w:p>
            <w:pPr>
              <w:spacing w:after="0" w:before="0" w:line="320"/>
            </w:pPr>
            <w:r>
              <w:rPr>
                <w:rFonts w:ascii="Inter" w:cs="Inter" w:eastAsia="Inter" w:hAnsi="Inter"/>
                <w:color w:val="1B232E"/>
                <w:sz w:val="20"/>
                <w:szCs w:val="20"/>
              </w:rPr>
              <w:t xml:space="preserve">Escalates complex or high-coverage profiles to licensed human advisors with full context pre-loaded</w:t>
            </w:r>
          </w:p>
        </w:tc>
      </w:tr>
    </w:tbl>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8F8F8" w:color="auto" w:val="clear"/>
            <w:tcMar>
              <w:top w:type="dxa" w:w="240"/>
              <w:left w:type="dxa" w:w="320"/>
              <w:bottom w:type="dxa" w:w="240"/>
              <w:right w:type="dxa" w:w="320"/>
            </w:tcMar>
          </w:tcPr>
          <w:p>
            <w:pPr>
              <w:spacing w:after="100" w:before="0"/>
            </w:pPr>
            <w:r>
              <w:rPr>
                <w:rFonts w:ascii="Inter" w:cs="Inter" w:eastAsia="Inter" w:hAnsi="Inter"/>
                <w:b/>
                <w:bCs/>
                <w:color w:val="1B232E"/>
                <w:sz w:val="24"/>
                <w:szCs w:val="24"/>
              </w:rPr>
              <w:t xml:space="preserve">Intelligent Underwriting Pre-Qualification</w:t>
            </w:r>
          </w:p>
          <w:p>
            <w:pPr>
              <w:spacing w:after="100" w:before="0" w:line="320"/>
            </w:pPr>
            <w:r>
              <w:rPr>
                <w:rFonts w:ascii="Inter" w:cs="Inter" w:eastAsia="Inter" w:hAnsi="Inter"/>
                <w:color w:val="1B232E"/>
                <w:sz w:val="20"/>
                <w:szCs w:val="20"/>
              </w:rPr>
              <w:t xml:space="preserve">Pre-screens applicant profiles against each carrier's underwriting guidelines before submission, surfacing likelihood of approval</w:t>
            </w:r>
          </w:p>
          <w:p>
            <w:pPr>
              <w:spacing w:after="100" w:before="0" w:line="320"/>
            </w:pPr>
            <w:r>
              <w:rPr>
                <w:rFonts w:ascii="Inter" w:cs="Inter" w:eastAsia="Inter" w:hAnsi="Inter"/>
                <w:color w:val="1B232E"/>
                <w:sz w:val="20"/>
                <w:szCs w:val="20"/>
              </w:rPr>
              <w:t xml:space="preserve">Prioritizes carrier routing based on applicant profile fit, not just price — faster binding, fewer declines</w:t>
            </w:r>
          </w:p>
          <w:p>
            <w:pPr>
              <w:spacing w:after="0" w:before="0" w:line="320"/>
            </w:pPr>
            <w:r>
              <w:rPr>
                <w:rFonts w:ascii="Inter" w:cs="Inter" w:eastAsia="Inter" w:hAnsi="Inter"/>
                <w:color w:val="1B232E"/>
                <w:sz w:val="20"/>
                <w:szCs w:val="20"/>
              </w:rPr>
              <w:t xml:space="preserve">Drafts application narratives for advisor review rather than requiring them to start from scratch</w:t>
            </w:r>
          </w:p>
        </w:tc>
      </w:tr>
    </w:tbl>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8F8F8" w:color="auto" w:val="clear"/>
            <w:tcMar>
              <w:top w:type="dxa" w:w="240"/>
              <w:left w:type="dxa" w:w="320"/>
              <w:bottom w:type="dxa" w:w="240"/>
              <w:right w:type="dxa" w:w="320"/>
            </w:tcMar>
          </w:tcPr>
          <w:p>
            <w:pPr>
              <w:spacing w:after="100" w:before="0"/>
            </w:pPr>
            <w:r>
              <w:rPr>
                <w:rFonts w:ascii="Inter" w:cs="Inter" w:eastAsia="Inter" w:hAnsi="Inter"/>
                <w:b/>
                <w:bCs/>
                <w:color w:val="1B232E"/>
                <w:sz w:val="24"/>
                <w:szCs w:val="24"/>
              </w:rPr>
              <w:t xml:space="preserve">Policy Lifecycle Intelligence</w:t>
            </w:r>
          </w:p>
          <w:p>
            <w:pPr>
              <w:spacing w:after="100" w:before="0" w:line="320"/>
            </w:pPr>
            <w:r>
              <w:rPr>
                <w:rFonts w:ascii="Inter" w:cs="Inter" w:eastAsia="Inter" w:hAnsi="Inter"/>
                <w:color w:val="1B232E"/>
                <w:sz w:val="20"/>
                <w:szCs w:val="20"/>
              </w:rPr>
              <w:t xml:space="preserve">Monitors policyholder life events, coverage gaps, and market repricing opportunities throughout the policy lifetime</w:t>
            </w:r>
          </w:p>
          <w:p>
            <w:pPr>
              <w:spacing w:after="100" w:before="0" w:line="320"/>
            </w:pPr>
            <w:r>
              <w:rPr>
                <w:rFonts w:ascii="Inter" w:cs="Inter" w:eastAsia="Inter" w:hAnsi="Inter"/>
                <w:color w:val="1B232E"/>
                <w:sz w:val="20"/>
                <w:szCs w:val="20"/>
              </w:rPr>
              <w:t xml:space="preserve">Proactively surfaces re-quote opportunities when a cheaper policy becomes available for the same coverage</w:t>
            </w:r>
          </w:p>
          <w:p>
            <w:pPr>
              <w:spacing w:after="0" w:before="0" w:line="320"/>
            </w:pPr>
            <w:r>
              <w:rPr>
                <w:rFonts w:ascii="Inter" w:cs="Inter" w:eastAsia="Inter" w:hAnsi="Inter"/>
                <w:color w:val="1B232E"/>
                <w:sz w:val="20"/>
                <w:szCs w:val="20"/>
              </w:rPr>
              <w:t xml:space="preserve">Automates beneficiary reviews, coverage adjustments, and term-conversion reminders</w:t>
            </w:r>
          </w:p>
        </w:tc>
      </w:tr>
    </w:tbl>
    <w:p>
      <w:pPr>
        <w:spacing w:after="240" w:before="0"/>
      </w:pPr>
      <w:r>
        <w:t xml:space="preserve"/>
      </w:r>
    </w:p>
    <w:p>
      <w:pPr>
        <w:spacing w:after="360" w:before="0"/>
        <w:jc w:val="center"/>
      </w:pPr>
      <w:r>
        <w:rPr>
          <w:rFonts w:ascii="Playfair Display" w:cs="Playfair Display" w:eastAsia="Playfair Display" w:hAnsi="Playfair Display"/>
          <w:b/>
          <w:bCs/>
          <w:i/>
          <w:iCs/>
          <w:color w:val="0755E9"/>
          <w:sz w:val="26"/>
          <w:szCs w:val="26"/>
        </w:rPr>
        <w:t xml:space="preserve">The infrastructure is already in place. The agents are the next deployment.</w:t>
      </w:r>
    </w:p>
    <w:p>
      <w:pPr>
        <w:spacing w:after="80" w:before="360"/>
        <w:jc w:val="center"/>
      </w:pPr>
      <w:r>
        <w:rPr>
          <w:rFonts w:ascii="Playfair Display" w:cs="Playfair Display" w:eastAsia="Playfair Display" w:hAnsi="Playfair Display"/>
          <w:b/>
          <w:bCs/>
          <w:color w:val="1B232E"/>
          <w:sz w:val="36"/>
          <w:szCs w:val="36"/>
        </w:rPr>
        <w:t xml:space="preserve">Codeligent</w:t>
      </w:r>
    </w:p>
    <w:p>
      <w:pPr>
        <w:spacing w:after="60" w:before="0"/>
        <w:jc w:val="center"/>
      </w:pPr>
      <w:r>
        <w:rPr>
          <w:rFonts w:ascii="Manrope" w:cs="Manrope" w:eastAsia="Manrope" w:hAnsi="Manrope"/>
          <w:color w:val="0755E9"/>
          <w:sz w:val="18"/>
          <w:szCs w:val="18"/>
        </w:rPr>
        <w:t xml:space="preserve">Autonomous Operations  |  Agentic AI Workflows</w:t>
      </w:r>
    </w:p>
    <w:p>
      <w:pPr>
        <w:spacing w:after="0" w:before="0"/>
        <w:jc w:val="center"/>
      </w:pPr>
      <w:r>
        <w:rPr>
          <w:rFonts w:ascii="Inter" w:cs="Inter" w:eastAsia="Inter" w:hAnsi="Inter"/>
          <w:i/>
          <w:iCs/>
          <w:color w:val="5F5F5F"/>
          <w:sz w:val="16"/>
          <w:szCs w:val="16"/>
        </w:rPr>
        <w:t xml:space="preserve">Confidential &amp; Proprietary</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Inter" w:cs="Inter" w:eastAsia="Inter" w:hAnsi="Inter"/>
        <w:i/>
        <w:iCs/>
        <w:color w:val="5F5F5F"/>
        <w:sz w:val="16"/>
        <w:szCs w:val="16"/>
      </w:rPr>
      <w:t xml:space="preserve">Codeligent  |  Autonomous Operations &amp; Agentic AI Workflows  |  Confidential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2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ter" w:cs="Inter" w:eastAsia="Inter" w:hAnsi="Inter"/>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40"/>
      <w:outlineLvl w:val="0"/>
    </w:pPr>
    <w:rPr>
      <w:rFonts w:ascii="Playfair Display" w:cs="Playfair Display" w:eastAsia="Playfair Display" w:hAnsi="Playfair Display"/>
      <w:b/>
      <w:bCs/>
      <w:color w:val="1B232E"/>
      <w:sz w:val="44"/>
      <w:szCs w:val="44"/>
    </w:rPr>
  </w:style>
  <w:style w:type="paragraph" w:styleId="Heading2">
    <w:name w:val="Heading 2"/>
    <w:basedOn w:val="Normal"/>
    <w:next w:val="Normal"/>
    <w:qFormat/>
    <w:pPr>
      <w:spacing w:after="140" w:before="300"/>
      <w:outlineLvl w:val="1"/>
    </w:pPr>
    <w:rPr>
      <w:rFonts w:ascii="Playfair Display" w:cs="Playfair Display" w:eastAsia="Playfair Display" w:hAnsi="Playfair Display"/>
      <w:b/>
      <w:bCs/>
      <w:color w:val="1B232E"/>
      <w:sz w:val="32"/>
      <w:szCs w:val="32"/>
    </w:rPr>
  </w:style>
  <w:style w:type="paragraph" w:styleId="Heading3">
    <w:name w:val="Heading 3"/>
    <w:basedOn w:val="Normal"/>
    <w:next w:val="Normal"/>
    <w:qFormat/>
    <w:pPr>
      <w:spacing w:after="120" w:before="220"/>
      <w:outlineLvl w:val="2"/>
    </w:pPr>
    <w:rPr>
      <w:rFonts w:ascii="Inter" w:cs="Inter" w:eastAsia="Inter" w:hAnsi="Inter"/>
      <w:b/>
      <w:bCs/>
      <w:color w:val="1B232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2026-04-19T18:21:32.333Z</dcterms:created>
  <dcterms:modified xsi:type="dcterms:W3CDTF">2026-04-19T18:21:32.334Z</dcterms:modified>
</cp:coreProperties>
</file>

<file path=docProps/custom.xml><?xml version="1.0" encoding="utf-8"?>
<Properties xmlns="http://schemas.openxmlformats.org/officeDocument/2006/custom-properties" xmlns:vt="http://schemas.openxmlformats.org/officeDocument/2006/docPropsVTypes"/>
</file>